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A8E" w:rsidRDefault="00F84CB3">
      <w:pPr>
        <w:pStyle w:val="Titolo"/>
      </w:pPr>
      <w:r>
        <w:t xml:space="preserve">Comune di </w:t>
      </w:r>
      <w:r w:rsidR="00665985">
        <w:t>MORANO SUL PO</w:t>
      </w:r>
    </w:p>
    <w:p w:rsidR="00C30A8E" w:rsidRDefault="00C30A8E">
      <w:pPr>
        <w:jc w:val="center"/>
        <w:rPr>
          <w:rFonts w:ascii="Palatino Linotype" w:hAnsi="Palatino Linotype"/>
        </w:rPr>
      </w:pPr>
    </w:p>
    <w:p w:rsidR="00C30A8E" w:rsidRDefault="00F84CB3">
      <w:pPr>
        <w:jc w:val="center"/>
        <w:rPr>
          <w:rFonts w:ascii="Palatino Linotype" w:hAnsi="Palatino Linotype"/>
          <w:sz w:val="32"/>
          <w:szCs w:val="32"/>
        </w:rPr>
      </w:pPr>
      <w:r>
        <w:rPr>
          <w:rFonts w:ascii="Palatino Linotype" w:hAnsi="Palatino Linotype"/>
          <w:sz w:val="32"/>
          <w:szCs w:val="32"/>
        </w:rPr>
        <w:t xml:space="preserve">Provincia di </w:t>
      </w:r>
      <w:r w:rsidR="00665985">
        <w:rPr>
          <w:rFonts w:ascii="Palatino Linotype" w:hAnsi="Palatino Linotype"/>
          <w:sz w:val="32"/>
          <w:szCs w:val="32"/>
        </w:rPr>
        <w:t>Alessandria</w:t>
      </w:r>
    </w:p>
    <w:p w:rsidR="00C30A8E" w:rsidRDefault="00C30A8E">
      <w:pPr>
        <w:rPr>
          <w:rFonts w:ascii="Palatino Linotype" w:hAnsi="Palatino Linotype"/>
        </w:rPr>
      </w:pPr>
    </w:p>
    <w:p w:rsidR="00C30A8E" w:rsidRDefault="00C30A8E"/>
    <w:p w:rsidR="00C30A8E" w:rsidRDefault="00C30A8E"/>
    <w:tbl>
      <w:tblPr>
        <w:tblpPr w:leftFromText="187" w:rightFromText="187" w:vertAnchor="text" w:horzAnchor="page" w:tblpXSpec="center" w:tblpY="1"/>
        <w:tblW w:w="4822" w:type="pct"/>
        <w:tblCellMar>
          <w:top w:w="216" w:type="dxa"/>
          <w:left w:w="216" w:type="dxa"/>
          <w:bottom w:w="216" w:type="dxa"/>
          <w:right w:w="216" w:type="dxa"/>
        </w:tblCellMar>
        <w:tblLook w:val="04A0" w:firstRow="1" w:lastRow="0" w:firstColumn="1" w:lastColumn="0" w:noHBand="0" w:noVBand="1"/>
      </w:tblPr>
      <w:tblGrid>
        <w:gridCol w:w="5251"/>
        <w:gridCol w:w="3914"/>
      </w:tblGrid>
      <w:tr w:rsidR="00C30A8E">
        <w:tc>
          <w:tcPr>
            <w:tcW w:w="5251" w:type="dxa"/>
            <w:tcBorders>
              <w:bottom w:val="single" w:sz="18" w:space="0" w:color="808080"/>
              <w:right w:val="single" w:sz="18" w:space="0" w:color="808080"/>
            </w:tcBorders>
            <w:vAlign w:val="center"/>
          </w:tcPr>
          <w:p w:rsidR="00C30A8E" w:rsidRDefault="00F84CB3">
            <w:pPr>
              <w:jc w:val="center"/>
              <w:rPr>
                <w:rFonts w:ascii="Palatino Linotype" w:hAnsi="Palatino Linotype" w:cs="Arial"/>
                <w:b/>
                <w:sz w:val="52"/>
                <w:szCs w:val="52"/>
              </w:rPr>
            </w:pPr>
            <w:r>
              <w:rPr>
                <w:rFonts w:ascii="Palatino Linotype" w:hAnsi="Palatino Linotype" w:cs="Arial"/>
                <w:b/>
                <w:sz w:val="52"/>
                <w:szCs w:val="52"/>
              </w:rPr>
              <w:t>Relazione dell’organo di revisione</w:t>
            </w:r>
          </w:p>
          <w:p w:rsidR="00C30A8E" w:rsidRDefault="00C30A8E">
            <w:pPr>
              <w:rPr>
                <w:rFonts w:ascii="Palatino Linotype" w:hAnsi="Palatino Linotype" w:cs="Arial"/>
                <w:b/>
                <w:i/>
                <w:sz w:val="36"/>
                <w:szCs w:val="36"/>
              </w:rPr>
            </w:pPr>
          </w:p>
          <w:p w:rsidR="00C30A8E" w:rsidRDefault="00F84CB3">
            <w:pPr>
              <w:numPr>
                <w:ilvl w:val="0"/>
                <w:numId w:val="22"/>
              </w:numPr>
              <w:jc w:val="left"/>
              <w:rPr>
                <w:rFonts w:ascii="Palatino Linotype" w:hAnsi="Palatino Linotype" w:cs="Arial"/>
                <w:i/>
                <w:sz w:val="36"/>
                <w:szCs w:val="36"/>
              </w:rPr>
            </w:pPr>
            <w:r>
              <w:rPr>
                <w:rFonts w:ascii="Palatino Linotype" w:hAnsi="Palatino Linotype" w:cs="Arial"/>
                <w:i/>
                <w:sz w:val="36"/>
                <w:szCs w:val="36"/>
              </w:rPr>
              <w:t>sulla proposta di deliberazione consiliare del rendiconto della gestione</w:t>
            </w:r>
          </w:p>
          <w:p w:rsidR="00C30A8E" w:rsidRDefault="00F84CB3">
            <w:pPr>
              <w:numPr>
                <w:ilvl w:val="0"/>
                <w:numId w:val="22"/>
              </w:numPr>
              <w:jc w:val="left"/>
              <w:rPr>
                <w:rFonts w:ascii="Palatino Linotype" w:hAnsi="Palatino Linotype" w:cs="Arial"/>
                <w:i/>
                <w:sz w:val="36"/>
                <w:szCs w:val="36"/>
              </w:rPr>
            </w:pPr>
            <w:r>
              <w:rPr>
                <w:rFonts w:ascii="Palatino Linotype" w:hAnsi="Palatino Linotype" w:cs="Arial"/>
                <w:i/>
                <w:sz w:val="36"/>
                <w:szCs w:val="36"/>
              </w:rPr>
              <w:t xml:space="preserve">sullo schema di rendiconto </w:t>
            </w:r>
          </w:p>
        </w:tc>
        <w:tc>
          <w:tcPr>
            <w:tcW w:w="3914" w:type="dxa"/>
            <w:tcBorders>
              <w:left w:val="single" w:sz="18" w:space="0" w:color="808080"/>
              <w:bottom w:val="single" w:sz="18" w:space="0" w:color="808080"/>
            </w:tcBorders>
            <w:vAlign w:val="center"/>
          </w:tcPr>
          <w:p w:rsidR="00C30A8E" w:rsidRDefault="00F84CB3">
            <w:pPr>
              <w:pStyle w:val="Nessunaspaziatura"/>
              <w:jc w:val="center"/>
              <w:rPr>
                <w:rFonts w:ascii="Palatino Linotype" w:hAnsi="Palatino Linotype"/>
                <w:sz w:val="100"/>
                <w:szCs w:val="100"/>
              </w:rPr>
            </w:pPr>
            <w:r>
              <w:rPr>
                <w:rFonts w:ascii="Palatino Linotype" w:hAnsi="Palatino Linotype"/>
                <w:sz w:val="100"/>
                <w:szCs w:val="100"/>
              </w:rPr>
              <w:t>anno</w:t>
            </w:r>
          </w:p>
          <w:p w:rsidR="00C30A8E" w:rsidRDefault="00F84CB3">
            <w:pPr>
              <w:pStyle w:val="Nessunaspaziatura"/>
              <w:jc w:val="center"/>
              <w:rPr>
                <w:rFonts w:ascii="Palatino Linotype" w:hAnsi="Palatino Linotype"/>
                <w:color w:val="4F81BD"/>
                <w:sz w:val="100"/>
                <w:szCs w:val="100"/>
                <w:lang w:eastAsia="it-IT"/>
              </w:rPr>
            </w:pPr>
            <w:r>
              <w:rPr>
                <w:rFonts w:ascii="Palatino Linotype" w:hAnsi="Palatino Linotype"/>
                <w:sz w:val="100"/>
                <w:szCs w:val="100"/>
              </w:rPr>
              <w:t>2016</w:t>
            </w:r>
          </w:p>
        </w:tc>
      </w:tr>
    </w:tbl>
    <w:p w:rsidR="00C30A8E" w:rsidRDefault="00C30A8E"/>
    <w:p w:rsidR="00C30A8E" w:rsidRDefault="00F84CB3">
      <w:pPr>
        <w:jc w:val="center"/>
        <w:rPr>
          <w:rFonts w:ascii="Garamond" w:hAnsi="Garamond"/>
          <w:b/>
          <w:sz w:val="24"/>
        </w:rPr>
      </w:pPr>
      <w:r>
        <w:rPr>
          <w:rFonts w:ascii="Garamond" w:hAnsi="Garamond"/>
          <w:b/>
          <w:sz w:val="24"/>
        </w:rPr>
        <w:t xml:space="preserve"> </w:t>
      </w:r>
    </w:p>
    <w:p w:rsidR="00C30A8E" w:rsidRDefault="00C30A8E">
      <w:pPr>
        <w:jc w:val="center"/>
        <w:rPr>
          <w:rFonts w:ascii="Garamond" w:hAnsi="Garamond"/>
          <w:b/>
          <w:sz w:val="24"/>
        </w:rPr>
      </w:pPr>
    </w:p>
    <w:p w:rsidR="00C30A8E" w:rsidRDefault="00C30A8E">
      <w:pPr>
        <w:jc w:val="center"/>
        <w:rPr>
          <w:rFonts w:ascii="Garamond" w:hAnsi="Garamond"/>
          <w:b/>
          <w:sz w:val="24"/>
        </w:rPr>
      </w:pPr>
    </w:p>
    <w:p w:rsidR="00C30A8E" w:rsidRDefault="00C30A8E">
      <w:pPr>
        <w:jc w:val="center"/>
        <w:rPr>
          <w:b/>
        </w:rPr>
      </w:pPr>
    </w:p>
    <w:p w:rsidR="00C30A8E" w:rsidRDefault="00C30A8E">
      <w:pPr>
        <w:jc w:val="center"/>
      </w:pPr>
    </w:p>
    <w:p w:rsidR="00C30A8E" w:rsidRDefault="00C30A8E">
      <w:pPr>
        <w:pStyle w:val="Titolo"/>
        <w:framePr w:hSpace="187" w:wrap="around" w:vAnchor="text" w:hAnchor="page" w:xAlign="center" w:y="1"/>
        <w:ind w:left="4536"/>
        <w:rPr>
          <w:rFonts w:ascii="Garamond" w:hAnsi="Garamond"/>
          <w:b w:val="0"/>
          <w:sz w:val="24"/>
        </w:rPr>
      </w:pPr>
    </w:p>
    <w:p w:rsidR="00C30A8E" w:rsidRDefault="00F84CB3">
      <w:pPr>
        <w:pStyle w:val="Titolo"/>
        <w:framePr w:hSpace="187" w:wrap="auto" w:vAnchor="text" w:hAnchor="page" w:xAlign="center" w:y="1"/>
        <w:ind w:left="4536"/>
        <w:rPr>
          <w:rFonts w:ascii="Garamond" w:hAnsi="Garamond"/>
          <w:b w:val="0"/>
          <w:sz w:val="24"/>
        </w:rPr>
      </w:pPr>
      <w:r>
        <w:rPr>
          <w:rFonts w:ascii="Garamond" w:hAnsi="Garamond"/>
          <w:b w:val="0"/>
          <w:sz w:val="24"/>
        </w:rPr>
        <w:t>L’ORGANO DI REVISIONE</w:t>
      </w:r>
    </w:p>
    <w:p w:rsidR="00C30A8E" w:rsidRDefault="00F84CB3">
      <w:pPr>
        <w:pStyle w:val="Titolo"/>
        <w:framePr w:hSpace="187" w:wrap="auto" w:vAnchor="text" w:hAnchor="page" w:xAlign="center" w:y="1"/>
        <w:ind w:left="4536"/>
        <w:rPr>
          <w:rFonts w:ascii="Garamond" w:hAnsi="Garamond"/>
          <w:b w:val="0"/>
          <w:sz w:val="24"/>
        </w:rPr>
      </w:pPr>
      <w:r>
        <w:rPr>
          <w:rFonts w:ascii="Garamond" w:hAnsi="Garamond"/>
          <w:b w:val="0"/>
          <w:sz w:val="24"/>
        </w:rPr>
        <w:t>_________________</w:t>
      </w:r>
    </w:p>
    <w:p w:rsidR="00C30A8E" w:rsidRDefault="00F84CB3">
      <w:pPr>
        <w:pStyle w:val="Titolo"/>
        <w:framePr w:hSpace="187" w:wrap="auto" w:vAnchor="text" w:hAnchor="page" w:xAlign="center" w:y="1"/>
        <w:ind w:left="4536"/>
        <w:rPr>
          <w:rFonts w:ascii="Garamond" w:hAnsi="Garamond"/>
          <w:b w:val="0"/>
          <w:sz w:val="24"/>
        </w:rPr>
      </w:pPr>
      <w:r>
        <w:rPr>
          <w:rFonts w:ascii="Garamond" w:hAnsi="Garamond"/>
          <w:b w:val="0"/>
          <w:sz w:val="24"/>
        </w:rPr>
        <w:t>_________________</w:t>
      </w:r>
    </w:p>
    <w:p w:rsidR="00C30A8E" w:rsidRDefault="00F84CB3">
      <w:pPr>
        <w:pStyle w:val="Titolo"/>
        <w:framePr w:hSpace="187" w:wrap="auto" w:vAnchor="text" w:hAnchor="page" w:xAlign="center" w:y="1"/>
        <w:ind w:left="4536"/>
        <w:rPr>
          <w:rFonts w:ascii="Garamond" w:hAnsi="Garamond"/>
          <w:b w:val="0"/>
          <w:sz w:val="24"/>
        </w:rPr>
      </w:pPr>
      <w:r>
        <w:rPr>
          <w:rFonts w:ascii="Garamond" w:hAnsi="Garamond"/>
          <w:b w:val="0"/>
          <w:sz w:val="24"/>
        </w:rPr>
        <w:t>_________________</w:t>
      </w:r>
    </w:p>
    <w:p w:rsidR="00C30A8E" w:rsidRDefault="00C30A8E">
      <w:pPr>
        <w:pStyle w:val="Titolo"/>
        <w:framePr w:w="8256" w:hSpace="187" w:wrap="around" w:vAnchor="text" w:hAnchor="page" w:xAlign="center" w:y="1"/>
        <w:ind w:left="3686"/>
        <w:rPr>
          <w:rFonts w:ascii="Garamond" w:hAnsi="Garamond"/>
          <w:b w:val="0"/>
          <w:sz w:val="24"/>
        </w:rPr>
      </w:pPr>
    </w:p>
    <w:p w:rsidR="00C30A8E" w:rsidRDefault="00F84CB3">
      <w:pPr>
        <w:widowControl/>
        <w:overflowPunct/>
        <w:autoSpaceDE/>
        <w:autoSpaceDN/>
        <w:adjustRightInd/>
        <w:spacing w:after="0"/>
        <w:jc w:val="left"/>
        <w:textAlignment w:val="auto"/>
      </w:pPr>
      <w:r>
        <w:br w:type="page"/>
      </w:r>
    </w:p>
    <w:p w:rsidR="00C30A8E" w:rsidRDefault="00C30A8E">
      <w:pPr>
        <w:widowControl/>
        <w:overflowPunct/>
        <w:autoSpaceDE/>
        <w:autoSpaceDN/>
        <w:adjustRightInd/>
        <w:spacing w:after="0"/>
        <w:jc w:val="left"/>
        <w:textAlignment w:val="auto"/>
      </w:pPr>
    </w:p>
    <w:p w:rsidR="00C30A8E" w:rsidRDefault="00E5469C">
      <w:pPr>
        <w:pStyle w:val="cpv"/>
        <w:widowControl/>
        <w:spacing w:before="220"/>
        <w:jc w:val="center"/>
        <w:rPr>
          <w:rFonts w:ascii="Palatino Linotype" w:hAnsi="Palatino Linotype" w:cs="Arial"/>
          <w:b/>
          <w:sz w:val="32"/>
        </w:rPr>
      </w:pPr>
      <w:r>
        <w:rPr>
          <w:rFonts w:ascii="Palatino Linotype" w:hAnsi="Palatino Linotype" w:cs="Arial"/>
          <w:b/>
          <w:sz w:val="32"/>
        </w:rPr>
        <w:t>Comune di Morano sul Po</w:t>
      </w:r>
    </w:p>
    <w:p w:rsidR="00C30A8E" w:rsidRDefault="00F84CB3">
      <w:pPr>
        <w:pStyle w:val="cpv"/>
        <w:widowControl/>
        <w:spacing w:after="240"/>
        <w:jc w:val="center"/>
        <w:rPr>
          <w:rFonts w:ascii="Palatino Linotype" w:hAnsi="Palatino Linotype" w:cs="Arial"/>
          <w:b/>
          <w:sz w:val="32"/>
          <w:szCs w:val="32"/>
        </w:rPr>
      </w:pPr>
      <w:r>
        <w:rPr>
          <w:rFonts w:ascii="Palatino Linotype" w:hAnsi="Palatino Linotype" w:cs="Arial"/>
          <w:b/>
          <w:sz w:val="32"/>
          <w:szCs w:val="32"/>
        </w:rPr>
        <w:t>Organo di revisione</w:t>
      </w:r>
    </w:p>
    <w:p w:rsidR="00C30A8E" w:rsidRDefault="00F84CB3">
      <w:pPr>
        <w:pStyle w:val="cpv"/>
        <w:widowControl/>
        <w:jc w:val="center"/>
        <w:rPr>
          <w:rFonts w:ascii="Palatino Linotype" w:hAnsi="Palatino Linotype" w:cs="Arial"/>
          <w:b/>
          <w:sz w:val="24"/>
        </w:rPr>
      </w:pPr>
      <w:r w:rsidRPr="00E5469C">
        <w:rPr>
          <w:rFonts w:ascii="Palatino Linotype" w:hAnsi="Palatino Linotype" w:cs="Arial"/>
          <w:b/>
          <w:sz w:val="24"/>
          <w:highlight w:val="yellow"/>
        </w:rPr>
        <w:t>Verbale n. ____ del _______________</w:t>
      </w:r>
    </w:p>
    <w:p w:rsidR="00C30A8E" w:rsidRDefault="00C30A8E">
      <w:pPr>
        <w:pStyle w:val="LIV2"/>
        <w:widowControl/>
        <w:spacing w:before="0" w:after="120" w:line="360" w:lineRule="auto"/>
        <w:jc w:val="center"/>
        <w:rPr>
          <w:rFonts w:ascii="Palatino Linotype" w:hAnsi="Palatino Linotype" w:cs="Arial"/>
          <w:sz w:val="24"/>
          <w:szCs w:val="24"/>
        </w:rPr>
      </w:pPr>
    </w:p>
    <w:p w:rsidR="00C30A8E" w:rsidRDefault="00F84CB3">
      <w:pPr>
        <w:pStyle w:val="LIV2"/>
        <w:widowControl/>
        <w:spacing w:before="0" w:after="120" w:line="360" w:lineRule="auto"/>
        <w:jc w:val="center"/>
        <w:rPr>
          <w:rFonts w:ascii="Palatino Linotype" w:hAnsi="Palatino Linotype" w:cs="Arial"/>
          <w:sz w:val="24"/>
          <w:szCs w:val="24"/>
        </w:rPr>
      </w:pPr>
      <w:r>
        <w:rPr>
          <w:rFonts w:ascii="Palatino Linotype" w:hAnsi="Palatino Linotype" w:cs="Arial"/>
          <w:sz w:val="24"/>
          <w:szCs w:val="24"/>
        </w:rPr>
        <w:t>RELAZIONE SUL RENDICONTO 2016</w:t>
      </w:r>
    </w:p>
    <w:p w:rsidR="00C30A8E" w:rsidRDefault="00F84CB3">
      <w:pPr>
        <w:pStyle w:val="cpv"/>
        <w:widowControl/>
        <w:tabs>
          <w:tab w:val="left" w:pos="6652"/>
        </w:tabs>
        <w:spacing w:before="0" w:after="120" w:line="240" w:lineRule="auto"/>
        <w:rPr>
          <w:rFonts w:ascii="Palatino Linotype" w:hAnsi="Palatino Linotype"/>
          <w:sz w:val="24"/>
          <w:szCs w:val="24"/>
        </w:rPr>
      </w:pPr>
      <w:r>
        <w:rPr>
          <w:rFonts w:ascii="Palatino Linotype" w:hAnsi="Palatino Linotype"/>
          <w:sz w:val="24"/>
          <w:szCs w:val="24"/>
        </w:rPr>
        <w:t>L’organo di revisione ha esaminato lo schema di rendiconto dell’esercizio finanziario per l’anno 2016, unitamente agli allegati di legge, e la proposta di deliberazione consiliare del rendiconto della gestione 2016 operando ai sensi e nel rispetto:</w:t>
      </w:r>
    </w:p>
    <w:p w:rsidR="00C30A8E" w:rsidRDefault="00F84CB3">
      <w:pPr>
        <w:pStyle w:val="cpv"/>
        <w:widowControl/>
        <w:numPr>
          <w:ilvl w:val="0"/>
          <w:numId w:val="17"/>
        </w:numPr>
        <w:tabs>
          <w:tab w:val="clear" w:pos="0"/>
          <w:tab w:val="clear" w:pos="1418"/>
          <w:tab w:val="clear" w:pos="2835"/>
          <w:tab w:val="clear" w:pos="4252"/>
        </w:tabs>
        <w:spacing w:before="0" w:after="120" w:line="240" w:lineRule="auto"/>
        <w:ind w:left="426" w:hanging="426"/>
        <w:rPr>
          <w:rFonts w:ascii="Palatino Linotype" w:hAnsi="Palatino Linotype"/>
          <w:sz w:val="24"/>
          <w:szCs w:val="24"/>
        </w:rPr>
      </w:pPr>
      <w:r>
        <w:rPr>
          <w:rFonts w:ascii="Palatino Linotype" w:hAnsi="Palatino Linotype"/>
          <w:sz w:val="24"/>
          <w:szCs w:val="24"/>
        </w:rPr>
        <w:t>del D.Lgs. 18 agosto 2000, n. 267 «Testo unico delle leggi sull'ordinamento degli enti locali»;</w:t>
      </w:r>
    </w:p>
    <w:p w:rsidR="00C30A8E" w:rsidRDefault="00F84CB3">
      <w:pPr>
        <w:pStyle w:val="cpv"/>
        <w:widowControl/>
        <w:numPr>
          <w:ilvl w:val="0"/>
          <w:numId w:val="17"/>
        </w:numPr>
        <w:tabs>
          <w:tab w:val="clear" w:pos="0"/>
          <w:tab w:val="clear" w:pos="1418"/>
          <w:tab w:val="clear" w:pos="2835"/>
          <w:tab w:val="clear" w:pos="4252"/>
        </w:tabs>
        <w:spacing w:before="0" w:after="120" w:line="240" w:lineRule="auto"/>
        <w:ind w:left="426" w:hanging="426"/>
        <w:rPr>
          <w:rFonts w:ascii="Palatino Linotype" w:hAnsi="Palatino Linotype"/>
          <w:sz w:val="24"/>
          <w:szCs w:val="24"/>
        </w:rPr>
      </w:pPr>
      <w:r>
        <w:rPr>
          <w:rFonts w:ascii="Palatino Linotype" w:hAnsi="Palatino Linotype"/>
          <w:sz w:val="24"/>
          <w:szCs w:val="24"/>
        </w:rPr>
        <w:t>del D.lgs. 23 giugno 2011 n.118 e dei principi contabile applicato alla contabilità finanziaria 4/2 e 4/3;</w:t>
      </w:r>
    </w:p>
    <w:p w:rsidR="00C30A8E" w:rsidRDefault="00F84CB3">
      <w:pPr>
        <w:pStyle w:val="cpv"/>
        <w:widowControl/>
        <w:numPr>
          <w:ilvl w:val="0"/>
          <w:numId w:val="17"/>
        </w:numPr>
        <w:tabs>
          <w:tab w:val="clear" w:pos="0"/>
          <w:tab w:val="clear" w:pos="1418"/>
          <w:tab w:val="clear" w:pos="2835"/>
          <w:tab w:val="clear" w:pos="4252"/>
        </w:tabs>
        <w:spacing w:before="0" w:after="120" w:line="240" w:lineRule="auto"/>
        <w:ind w:left="426" w:hanging="426"/>
        <w:rPr>
          <w:rFonts w:ascii="Palatino Linotype" w:hAnsi="Palatino Linotype"/>
          <w:sz w:val="24"/>
          <w:szCs w:val="24"/>
        </w:rPr>
      </w:pPr>
      <w:r>
        <w:rPr>
          <w:rFonts w:ascii="Palatino Linotype" w:hAnsi="Palatino Linotype"/>
          <w:sz w:val="24"/>
          <w:szCs w:val="24"/>
        </w:rPr>
        <w:t>degli schemi di rendiconto allegato 10 al d.lgs.118/2011;</w:t>
      </w:r>
    </w:p>
    <w:p w:rsidR="00C30A8E" w:rsidRDefault="00F84CB3">
      <w:pPr>
        <w:pStyle w:val="sottocpv1"/>
        <w:widowControl/>
        <w:numPr>
          <w:ilvl w:val="0"/>
          <w:numId w:val="17"/>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dello statuto e del regolamento di contabilità;</w:t>
      </w:r>
    </w:p>
    <w:p w:rsidR="00C30A8E" w:rsidRDefault="00F84CB3">
      <w:pPr>
        <w:pStyle w:val="sottocpv1"/>
        <w:widowControl/>
        <w:numPr>
          <w:ilvl w:val="0"/>
          <w:numId w:val="17"/>
        </w:numPr>
        <w:tabs>
          <w:tab w:val="clear" w:pos="341"/>
          <w:tab w:val="clear" w:pos="1759"/>
          <w:tab w:val="clear" w:pos="3176"/>
          <w:tab w:val="clear" w:pos="4593"/>
        </w:tabs>
        <w:spacing w:before="0" w:after="120" w:line="240" w:lineRule="auto"/>
        <w:ind w:left="426" w:hanging="426"/>
        <w:rPr>
          <w:rFonts w:ascii="Palatino Linotype" w:hAnsi="Palatino Linotype" w:cs="Arial"/>
          <w:sz w:val="24"/>
          <w:szCs w:val="24"/>
        </w:rPr>
      </w:pPr>
      <w:r>
        <w:rPr>
          <w:rFonts w:ascii="Palatino Linotype" w:hAnsi="Palatino Linotype" w:cs="Arial"/>
          <w:sz w:val="24"/>
          <w:szCs w:val="24"/>
        </w:rPr>
        <w:t>dei principi di vigilanza e controllo dell’organo di revisione degli enti locali approvati dal Consiglio nazionale dei dottori commercialisti ed esperti contabili;</w:t>
      </w:r>
    </w:p>
    <w:p w:rsidR="00C30A8E" w:rsidRDefault="00F84CB3">
      <w:pPr>
        <w:pStyle w:val="CPVC"/>
        <w:widowControl/>
        <w:spacing w:before="0" w:after="120" w:line="240" w:lineRule="auto"/>
        <w:rPr>
          <w:rFonts w:ascii="Palatino Linotype" w:hAnsi="Palatino Linotype" w:cs="Arial"/>
          <w:i/>
          <w:sz w:val="24"/>
          <w:szCs w:val="24"/>
        </w:rPr>
      </w:pPr>
      <w:r>
        <w:rPr>
          <w:rFonts w:ascii="Palatino Linotype" w:hAnsi="Palatino Linotype" w:cs="Arial"/>
          <w:sz w:val="24"/>
          <w:szCs w:val="24"/>
        </w:rPr>
        <w:t xml:space="preserve">Approva </w:t>
      </w:r>
    </w:p>
    <w:p w:rsidR="00C30A8E" w:rsidRDefault="00F84CB3">
      <w:pPr>
        <w:pStyle w:val="cpv"/>
        <w:widowControl/>
        <w:spacing w:before="0" w:after="120" w:line="240" w:lineRule="auto"/>
        <w:rPr>
          <w:rFonts w:ascii="Palatino Linotype" w:hAnsi="Palatino Linotype" w:cs="Arial"/>
          <w:sz w:val="24"/>
          <w:szCs w:val="24"/>
        </w:rPr>
      </w:pPr>
      <w:r>
        <w:rPr>
          <w:rFonts w:ascii="Palatino Linotype" w:hAnsi="Palatino Linotype" w:cs="Arial"/>
          <w:sz w:val="24"/>
          <w:szCs w:val="24"/>
        </w:rPr>
        <w:t xml:space="preserve">l'allegata relazione sulla proposta di deliberazione consiliare del rendiconto della gestione e sulla schema di rendiconto per l’esercizio finanziario 2016 del Comune di </w:t>
      </w:r>
      <w:r w:rsidR="00153004">
        <w:rPr>
          <w:rFonts w:ascii="Palatino Linotype" w:hAnsi="Palatino Linotype" w:cs="Arial"/>
          <w:sz w:val="24"/>
          <w:szCs w:val="24"/>
        </w:rPr>
        <w:t>Morano sul Po</w:t>
      </w:r>
      <w:r>
        <w:rPr>
          <w:rFonts w:ascii="Palatino Linotype" w:hAnsi="Palatino Linotype" w:cs="Arial"/>
          <w:sz w:val="24"/>
          <w:szCs w:val="24"/>
        </w:rPr>
        <w:t xml:space="preserve"> che forma parte integrante e sostanziale del presente verbale.</w:t>
      </w:r>
    </w:p>
    <w:p w:rsidR="00C30A8E" w:rsidRDefault="00C30A8E">
      <w:pPr>
        <w:pStyle w:val="cpv"/>
        <w:widowControl/>
        <w:spacing w:before="0" w:after="120" w:line="240" w:lineRule="auto"/>
        <w:rPr>
          <w:rFonts w:ascii="Palatino Linotype" w:hAnsi="Palatino Linotype" w:cs="Arial"/>
          <w:sz w:val="24"/>
          <w:szCs w:val="24"/>
        </w:rPr>
      </w:pPr>
    </w:p>
    <w:p w:rsidR="00C30A8E" w:rsidRDefault="00153004">
      <w:pPr>
        <w:pStyle w:val="cpv"/>
        <w:widowControl/>
        <w:spacing w:before="0" w:after="120" w:line="240" w:lineRule="auto"/>
        <w:rPr>
          <w:rFonts w:ascii="Palatino Linotype" w:hAnsi="Palatino Linotype" w:cs="Arial"/>
          <w:sz w:val="24"/>
          <w:szCs w:val="24"/>
        </w:rPr>
      </w:pPr>
      <w:r>
        <w:rPr>
          <w:rFonts w:ascii="Palatino Linotype" w:hAnsi="Palatino Linotype" w:cs="Arial"/>
          <w:sz w:val="24"/>
          <w:szCs w:val="24"/>
        </w:rPr>
        <w:t>Morano sul Po</w:t>
      </w:r>
      <w:r w:rsidR="00F84CB3">
        <w:rPr>
          <w:rFonts w:ascii="Palatino Linotype" w:hAnsi="Palatino Linotype" w:cs="Arial"/>
          <w:sz w:val="24"/>
          <w:szCs w:val="24"/>
        </w:rPr>
        <w:t>, lì _______________</w:t>
      </w:r>
      <w:r w:rsidR="00F84CB3">
        <w:rPr>
          <w:rFonts w:ascii="Palatino Linotype" w:hAnsi="Palatino Linotype" w:cs="Arial"/>
          <w:sz w:val="24"/>
          <w:szCs w:val="24"/>
        </w:rPr>
        <w:tab/>
      </w:r>
    </w:p>
    <w:p w:rsidR="00C30A8E" w:rsidRDefault="00F84CB3">
      <w:pPr>
        <w:pStyle w:val="cpv"/>
        <w:widowControl/>
        <w:spacing w:before="0" w:after="120" w:line="240" w:lineRule="auto"/>
        <w:jc w:val="right"/>
        <w:rPr>
          <w:rFonts w:ascii="Palatino Linotype" w:hAnsi="Palatino Linotype" w:cs="Arial"/>
          <w:sz w:val="24"/>
          <w:szCs w:val="24"/>
        </w:rPr>
      </w:pPr>
      <w:r>
        <w:rPr>
          <w:rFonts w:ascii="Palatino Linotype" w:hAnsi="Palatino Linotype" w:cs="Arial"/>
          <w:sz w:val="24"/>
          <w:szCs w:val="24"/>
        </w:rPr>
        <w:t>L’organo di revisione</w:t>
      </w:r>
    </w:p>
    <w:p w:rsidR="00C30A8E" w:rsidRDefault="00F84CB3">
      <w:pPr>
        <w:pStyle w:val="cpv"/>
        <w:widowControl/>
        <w:spacing w:after="240"/>
        <w:jc w:val="center"/>
        <w:rPr>
          <w:rFonts w:cs="Arial"/>
          <w:b/>
        </w:rPr>
      </w:pPr>
      <w:r>
        <w:rPr>
          <w:rFonts w:ascii="Arial" w:hAnsi="Arial" w:cs="Arial"/>
        </w:rPr>
        <w:br w:type="page"/>
      </w:r>
    </w:p>
    <w:p w:rsidR="00C30A8E" w:rsidRDefault="00F84CB3">
      <w:pPr>
        <w:pStyle w:val="Titolo1"/>
        <w:shd w:val="clear" w:color="auto" w:fill="D6E3BC" w:themeFill="accent3" w:themeFillTint="66"/>
      </w:pPr>
      <w:bookmarkStart w:id="0" w:name="_Toc379377452"/>
      <w:r>
        <w:lastRenderedPageBreak/>
        <w:t>INTRODUZIONE</w:t>
      </w:r>
      <w:bookmarkEnd w:id="0"/>
    </w:p>
    <w:p w:rsidR="00C30A8E" w:rsidRDefault="00F84CB3">
      <w:pPr>
        <w:tabs>
          <w:tab w:val="left" w:pos="1275"/>
          <w:tab w:val="left" w:pos="1560"/>
          <w:tab w:val="left" w:leader="dot" w:pos="8789"/>
          <w:tab w:val="right" w:pos="9639"/>
        </w:tabs>
        <w:rPr>
          <w:rFonts w:cs="Arial"/>
          <w:sz w:val="16"/>
          <w:szCs w:val="16"/>
        </w:rPr>
      </w:pPr>
      <w:r>
        <w:rPr>
          <w:rFonts w:cs="Arial"/>
          <w:sz w:val="16"/>
          <w:szCs w:val="16"/>
        </w:rPr>
        <w:t xml:space="preserve"> </w:t>
      </w:r>
    </w:p>
    <w:p w:rsidR="00153004" w:rsidRDefault="00153004" w:rsidP="00153004">
      <w:pPr>
        <w:rPr>
          <w:rFonts w:cs="Arial"/>
          <w:szCs w:val="22"/>
        </w:rPr>
      </w:pPr>
      <w:r>
        <w:rPr>
          <w:rFonts w:cs="Arial"/>
          <w:szCs w:val="22"/>
        </w:rPr>
        <w:t>Il sottoscritto, CERATI Dott. Dario, revisore del Comune di Morano sul Po nominato con delibera dell’organo consiliare n. 2 del 30.01.2017.</w:t>
      </w:r>
    </w:p>
    <w:p w:rsidR="00C30A8E" w:rsidRPr="007209B1" w:rsidRDefault="006F5B7B" w:rsidP="007209B1">
      <w:pPr>
        <w:numPr>
          <w:ilvl w:val="0"/>
          <w:numId w:val="1"/>
        </w:numPr>
        <w:spacing w:before="120"/>
        <w:ind w:left="284" w:hanging="284"/>
        <w:rPr>
          <w:rFonts w:cs="Arial"/>
          <w:sz w:val="20"/>
        </w:rPr>
      </w:pPr>
      <w:r>
        <w:rPr>
          <w:rFonts w:cs="Arial"/>
          <w:sz w:val="20"/>
        </w:rPr>
        <w:t>ricevuto</w:t>
      </w:r>
      <w:r w:rsidR="00F84CB3" w:rsidRPr="007209B1">
        <w:rPr>
          <w:rFonts w:cs="Arial"/>
          <w:sz w:val="20"/>
        </w:rPr>
        <w:t xml:space="preserve"> in data </w:t>
      </w:r>
      <w:r w:rsidRPr="006F5B7B">
        <w:rPr>
          <w:rFonts w:cs="Arial"/>
          <w:sz w:val="20"/>
        </w:rPr>
        <w:t>13</w:t>
      </w:r>
      <w:r w:rsidR="00F84CB3" w:rsidRPr="006F5B7B">
        <w:rPr>
          <w:rFonts w:cs="Arial"/>
          <w:sz w:val="20"/>
        </w:rPr>
        <w:t>.</w:t>
      </w:r>
      <w:r w:rsidRPr="006F5B7B">
        <w:rPr>
          <w:rFonts w:cs="Arial"/>
          <w:sz w:val="20"/>
        </w:rPr>
        <w:t>04</w:t>
      </w:r>
      <w:r w:rsidR="00F84CB3" w:rsidRPr="006F5B7B">
        <w:rPr>
          <w:rFonts w:cs="Arial"/>
          <w:sz w:val="20"/>
        </w:rPr>
        <w:t>.2017 lo</w:t>
      </w:r>
      <w:r w:rsidR="00F84CB3" w:rsidRPr="007209B1">
        <w:rPr>
          <w:rFonts w:cs="Arial"/>
          <w:sz w:val="20"/>
        </w:rPr>
        <w:t xml:space="preserve"> schema del rendiconto per l’esercizio 2016, approvat</w:t>
      </w:r>
      <w:r>
        <w:rPr>
          <w:rFonts w:cs="Arial"/>
          <w:sz w:val="20"/>
        </w:rPr>
        <w:t>o</w:t>
      </w:r>
      <w:r w:rsidR="00F84CB3" w:rsidRPr="007209B1">
        <w:rPr>
          <w:rFonts w:cs="Arial"/>
          <w:sz w:val="20"/>
        </w:rPr>
        <w:t xml:space="preserve"> con delibera della giunta comunale </w:t>
      </w:r>
      <w:r w:rsidR="00F84CB3" w:rsidRPr="006F5B7B">
        <w:rPr>
          <w:rFonts w:cs="Arial"/>
          <w:sz w:val="20"/>
        </w:rPr>
        <w:t xml:space="preserve">n. </w:t>
      </w:r>
      <w:r w:rsidRPr="006F5B7B">
        <w:rPr>
          <w:rFonts w:cs="Arial"/>
          <w:sz w:val="20"/>
        </w:rPr>
        <w:t>28</w:t>
      </w:r>
      <w:r w:rsidR="00F84CB3" w:rsidRPr="006F5B7B">
        <w:rPr>
          <w:rFonts w:cs="Arial"/>
          <w:sz w:val="20"/>
        </w:rPr>
        <w:t xml:space="preserve"> del </w:t>
      </w:r>
      <w:r w:rsidRPr="006F5B7B">
        <w:rPr>
          <w:rFonts w:cs="Arial"/>
          <w:sz w:val="20"/>
        </w:rPr>
        <w:t>30</w:t>
      </w:r>
      <w:r w:rsidR="00F84CB3" w:rsidRPr="006F5B7B">
        <w:rPr>
          <w:rFonts w:cs="Arial"/>
          <w:sz w:val="20"/>
        </w:rPr>
        <w:t>.</w:t>
      </w:r>
      <w:r w:rsidRPr="006F5B7B">
        <w:rPr>
          <w:rFonts w:cs="Arial"/>
          <w:sz w:val="20"/>
        </w:rPr>
        <w:t>3</w:t>
      </w:r>
      <w:r w:rsidR="00F84CB3" w:rsidRPr="006F5B7B">
        <w:rPr>
          <w:rFonts w:cs="Arial"/>
          <w:sz w:val="20"/>
        </w:rPr>
        <w:t>.2017,</w:t>
      </w:r>
      <w:r>
        <w:rPr>
          <w:rFonts w:cs="Arial"/>
          <w:sz w:val="20"/>
        </w:rPr>
        <w:t xml:space="preserve"> completo</w:t>
      </w:r>
      <w:r w:rsidR="00F84CB3" w:rsidRPr="006F5B7B">
        <w:rPr>
          <w:rFonts w:cs="Arial"/>
          <w:sz w:val="20"/>
        </w:rPr>
        <w:t xml:space="preserve"> dei documenti</w:t>
      </w:r>
      <w:r w:rsidR="00F84CB3" w:rsidRPr="007209B1">
        <w:rPr>
          <w:rFonts w:cs="Arial"/>
          <w:sz w:val="20"/>
        </w:rPr>
        <w:t xml:space="preserve"> obbligatori ai sensi del Decreto Legislativo 18 agosto 2000, n. 267 (Testo unico delle leggi sull'ordinamento degli</w:t>
      </w:r>
      <w:r w:rsidR="007209B1" w:rsidRPr="007209B1">
        <w:rPr>
          <w:rFonts w:cs="Arial"/>
          <w:sz w:val="20"/>
        </w:rPr>
        <w:t xml:space="preserve"> enti locali – di seguito Tuel)</w:t>
      </w:r>
      <w:r w:rsidR="007209B1">
        <w:rPr>
          <w:rFonts w:cs="Arial"/>
          <w:sz w:val="20"/>
        </w:rPr>
        <w:t xml:space="preserve"> </w:t>
      </w:r>
      <w:r w:rsidR="00F84CB3" w:rsidRPr="007209B1">
        <w:rPr>
          <w:rFonts w:cs="Arial"/>
          <w:sz w:val="20"/>
        </w:rPr>
        <w:t>e corredati dai seguenti allegati disposti dalla legge e necessari per il controllo:</w:t>
      </w:r>
    </w:p>
    <w:p w:rsidR="00C30A8E" w:rsidRDefault="00F84CB3">
      <w:pPr>
        <w:numPr>
          <w:ilvl w:val="0"/>
          <w:numId w:val="3"/>
        </w:numPr>
        <w:tabs>
          <w:tab w:val="left" w:pos="709"/>
        </w:tabs>
        <w:rPr>
          <w:rFonts w:cs="Arial"/>
          <w:sz w:val="20"/>
        </w:rPr>
      </w:pPr>
      <w:r>
        <w:rPr>
          <w:rFonts w:cs="Arial"/>
          <w:sz w:val="20"/>
        </w:rPr>
        <w:t>relazione sulla gestione dell’organo esecutivo con allegato l’indicatore annuale di tempestività dei pagamenti ;</w:t>
      </w:r>
    </w:p>
    <w:p w:rsidR="00C30A8E" w:rsidRDefault="00F84CB3">
      <w:pPr>
        <w:numPr>
          <w:ilvl w:val="0"/>
          <w:numId w:val="3"/>
        </w:numPr>
        <w:tabs>
          <w:tab w:val="left" w:pos="709"/>
        </w:tabs>
        <w:rPr>
          <w:rFonts w:cs="Arial"/>
          <w:sz w:val="20"/>
        </w:rPr>
      </w:pPr>
      <w:r>
        <w:rPr>
          <w:rFonts w:cs="Arial"/>
          <w:sz w:val="20"/>
        </w:rPr>
        <w:t>delibera dell’organo esecutivo di riaccertamento ordinario dei residui attivi e passivi;</w:t>
      </w:r>
    </w:p>
    <w:p w:rsidR="00C30A8E" w:rsidRDefault="00F84CB3">
      <w:pPr>
        <w:numPr>
          <w:ilvl w:val="0"/>
          <w:numId w:val="3"/>
        </w:numPr>
        <w:tabs>
          <w:tab w:val="left" w:pos="709"/>
        </w:tabs>
        <w:rPr>
          <w:rFonts w:cs="Arial"/>
          <w:sz w:val="20"/>
        </w:rPr>
      </w:pPr>
      <w:r>
        <w:rPr>
          <w:rFonts w:cs="Arial"/>
          <w:sz w:val="20"/>
        </w:rPr>
        <w:t>conto del tesoriere (art. 226/TUEL);</w:t>
      </w:r>
    </w:p>
    <w:p w:rsidR="00C30A8E" w:rsidRDefault="00F84CB3">
      <w:pPr>
        <w:numPr>
          <w:ilvl w:val="0"/>
          <w:numId w:val="3"/>
        </w:numPr>
        <w:tabs>
          <w:tab w:val="left" w:pos="709"/>
        </w:tabs>
        <w:rPr>
          <w:rFonts w:cs="Arial"/>
          <w:sz w:val="20"/>
        </w:rPr>
      </w:pPr>
      <w:r>
        <w:rPr>
          <w:rFonts w:cs="Arial"/>
          <w:sz w:val="20"/>
        </w:rPr>
        <w:t>conto degli agenti contabili interni ed esterni (art. 233/TUEL);</w:t>
      </w: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il prospetto dimostrativo del risultato di gestione e di amministrazione;</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 xml:space="preserve">il prospetto concernente la composizione, per missioni e programmi, del fondo </w:t>
      </w:r>
    </w:p>
    <w:p w:rsidR="00C30A8E" w:rsidRDefault="00F84CB3">
      <w:pPr>
        <w:pStyle w:val="Paragrafoelenco"/>
        <w:widowControl/>
        <w:overflowPunct/>
        <w:autoSpaceDE/>
        <w:autoSpaceDN/>
        <w:adjustRightInd/>
        <w:spacing w:after="0"/>
        <w:ind w:left="786"/>
        <w:textAlignment w:val="auto"/>
        <w:rPr>
          <w:rFonts w:cs="Arial"/>
          <w:sz w:val="20"/>
        </w:rPr>
      </w:pPr>
      <w:r>
        <w:rPr>
          <w:rFonts w:cs="Arial"/>
          <w:sz w:val="20"/>
        </w:rPr>
        <w:t>pluriennale vincolato;</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il prospetto concernente la composizione del fondo crediti di dubbia esigibilità;</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ind w:left="709"/>
        <w:textAlignment w:val="auto"/>
        <w:rPr>
          <w:rFonts w:cs="Arial"/>
          <w:sz w:val="20"/>
        </w:rPr>
      </w:pPr>
      <w:r>
        <w:rPr>
          <w:rFonts w:cs="Arial"/>
          <w:sz w:val="20"/>
        </w:rPr>
        <w:t>la tabella dimostrativa degli accertamenti assunti nell’esercizio in corso e negli esercizi precedenti imputati agli esercizi successivi;</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ind w:left="709"/>
        <w:textAlignment w:val="auto"/>
        <w:rPr>
          <w:rFonts w:cs="Arial"/>
          <w:sz w:val="20"/>
        </w:rPr>
      </w:pPr>
      <w:r>
        <w:rPr>
          <w:rFonts w:cs="Arial"/>
          <w:sz w:val="20"/>
        </w:rPr>
        <w:t>la tabella dimostrativa degli impegni assunti nell’esercizio in corso e negli esercizi precedenti imputati agli esercizi successivi;</w:t>
      </w:r>
    </w:p>
    <w:p w:rsidR="007209B1" w:rsidRDefault="007209B1">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il prospetto delle spese sostenute per l’utilizzo di contributi e trasferimenti da parte di organismi comunitari e internazionali (facoltativo per i Comuni sotto 5.000 abitanti);</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il prospetto delle spese sostenute per lo svolgimento delle funzioni delegate dalle regioni((facoltativo per i Comuni sotto 5.000 abitanti);</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il prospetto dei dati SIOPE;</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l’elenco dei residui attivi e passivi provenienti dagli esercizi anteriori a quello di competenza, distintamente per esercizio di provenienza e per capitolo;</w:t>
      </w:r>
    </w:p>
    <w:p w:rsidR="00C30A8E" w:rsidRDefault="00C30A8E">
      <w:pPr>
        <w:pStyle w:val="Paragrafoelenco"/>
        <w:widowControl/>
        <w:overflowPunct/>
        <w:autoSpaceDE/>
        <w:autoSpaceDN/>
        <w:adjustRightInd/>
        <w:spacing w:after="0"/>
        <w:ind w:left="709"/>
        <w:textAlignment w:val="auto"/>
        <w:rPr>
          <w:rFonts w:cs="Arial"/>
          <w:sz w:val="20"/>
        </w:rPr>
      </w:pPr>
    </w:p>
    <w:p w:rsidR="00C30A8E" w:rsidRDefault="00F84CB3">
      <w:pPr>
        <w:pStyle w:val="Paragrafoelenco"/>
        <w:widowControl/>
        <w:numPr>
          <w:ilvl w:val="0"/>
          <w:numId w:val="3"/>
        </w:numPr>
        <w:overflowPunct/>
        <w:autoSpaceDE/>
        <w:autoSpaceDN/>
        <w:adjustRightInd/>
        <w:spacing w:after="0"/>
        <w:textAlignment w:val="auto"/>
        <w:rPr>
          <w:rFonts w:cs="Arial"/>
          <w:sz w:val="20"/>
        </w:rPr>
      </w:pPr>
      <w:r>
        <w:rPr>
          <w:rFonts w:cs="Arial"/>
          <w:sz w:val="20"/>
        </w:rPr>
        <w:t>l’elenco dei crediti inesigibili, stralciati dal conto del bilancio, sino al compimento dei termini di prescrizione;</w:t>
      </w:r>
    </w:p>
    <w:p w:rsidR="00C30A8E" w:rsidRDefault="00C30A8E">
      <w:pPr>
        <w:pStyle w:val="Paragrafoelenco"/>
        <w:widowControl/>
        <w:overflowPunct/>
        <w:autoSpaceDE/>
        <w:autoSpaceDN/>
        <w:adjustRightInd/>
        <w:spacing w:after="0"/>
        <w:ind w:left="709"/>
        <w:textAlignment w:val="auto"/>
        <w:rPr>
          <w:rFonts w:cs="Arial"/>
          <w:sz w:val="20"/>
        </w:rPr>
      </w:pPr>
    </w:p>
    <w:p w:rsidR="007209B1" w:rsidRDefault="007209B1" w:rsidP="007209B1">
      <w:pPr>
        <w:pStyle w:val="Paragrafoelenco"/>
        <w:widowControl/>
        <w:overflowPunct/>
        <w:autoSpaceDE/>
        <w:autoSpaceDN/>
        <w:adjustRightInd/>
        <w:spacing w:after="0"/>
        <w:textAlignment w:val="auto"/>
        <w:rPr>
          <w:rFonts w:cs="Arial"/>
          <w:sz w:val="20"/>
        </w:rPr>
      </w:pPr>
    </w:p>
    <w:p w:rsidR="00C30A8E" w:rsidRPr="006F5B7B" w:rsidRDefault="00F84CB3">
      <w:pPr>
        <w:numPr>
          <w:ilvl w:val="0"/>
          <w:numId w:val="3"/>
        </w:numPr>
        <w:tabs>
          <w:tab w:val="left" w:pos="709"/>
        </w:tabs>
        <w:rPr>
          <w:rFonts w:cs="Arial"/>
          <w:sz w:val="20"/>
        </w:rPr>
      </w:pPr>
      <w:r w:rsidRPr="006F5B7B">
        <w:rPr>
          <w:sz w:val="20"/>
        </w:rPr>
        <w:t>la tabella dei parametri di riscontro della situazione di deficitarietà strutturale (D.M. 18/02/2013);</w:t>
      </w:r>
    </w:p>
    <w:p w:rsidR="00C30A8E" w:rsidRPr="006F5B7B" w:rsidRDefault="00F84CB3">
      <w:pPr>
        <w:numPr>
          <w:ilvl w:val="0"/>
          <w:numId w:val="3"/>
        </w:numPr>
        <w:tabs>
          <w:tab w:val="left" w:pos="709"/>
        </w:tabs>
        <w:rPr>
          <w:rFonts w:cs="Arial"/>
          <w:sz w:val="20"/>
        </w:rPr>
      </w:pPr>
      <w:r w:rsidRPr="006F5B7B">
        <w:rPr>
          <w:rFonts w:cs="Arial"/>
          <w:sz w:val="20"/>
        </w:rPr>
        <w:t>il piano degli indicatori e risultati di bilancio (art. 227/TUEL, c. 5);</w:t>
      </w:r>
    </w:p>
    <w:p w:rsidR="00C30A8E" w:rsidRPr="006F5B7B" w:rsidRDefault="00F84CB3">
      <w:pPr>
        <w:numPr>
          <w:ilvl w:val="0"/>
          <w:numId w:val="3"/>
        </w:numPr>
        <w:tabs>
          <w:tab w:val="left" w:pos="709"/>
        </w:tabs>
        <w:rPr>
          <w:rFonts w:cs="Arial"/>
          <w:sz w:val="20"/>
        </w:rPr>
      </w:pPr>
      <w:r w:rsidRPr="006F5B7B">
        <w:rPr>
          <w:rFonts w:cs="Arial"/>
          <w:sz w:val="20"/>
        </w:rPr>
        <w:t>inventario generale (art. 230/TUEL, c. 7);</w:t>
      </w:r>
    </w:p>
    <w:p w:rsidR="00C30A8E" w:rsidRPr="006F5B7B" w:rsidRDefault="00F84CB3">
      <w:pPr>
        <w:numPr>
          <w:ilvl w:val="0"/>
          <w:numId w:val="3"/>
        </w:numPr>
        <w:tabs>
          <w:tab w:val="left" w:pos="709"/>
        </w:tabs>
        <w:rPr>
          <w:rFonts w:cs="Arial"/>
          <w:sz w:val="20"/>
        </w:rPr>
      </w:pPr>
      <w:r w:rsidRPr="006F5B7B">
        <w:rPr>
          <w:rFonts w:cs="Arial"/>
          <w:sz w:val="20"/>
        </w:rPr>
        <w:t>prospetto spese di rappresentanza anno 2016 (art.16, D.L. 138/2011, c. 26, e D.M. 23/1/2012);</w:t>
      </w:r>
    </w:p>
    <w:p w:rsidR="00C30A8E" w:rsidRDefault="00F84CB3">
      <w:pPr>
        <w:numPr>
          <w:ilvl w:val="0"/>
          <w:numId w:val="3"/>
        </w:numPr>
        <w:tabs>
          <w:tab w:val="left" w:pos="709"/>
        </w:tabs>
        <w:rPr>
          <w:rFonts w:cs="Arial"/>
          <w:i/>
          <w:sz w:val="20"/>
        </w:rPr>
      </w:pPr>
      <w:r>
        <w:rPr>
          <w:rFonts w:cs="Arial"/>
          <w:sz w:val="20"/>
        </w:rPr>
        <w:t>certificazione rispetto obiettivi anno 2016 del saldo di finanza pubblica;</w:t>
      </w:r>
    </w:p>
    <w:p w:rsidR="00C30A8E" w:rsidRDefault="00F84CB3">
      <w:pPr>
        <w:numPr>
          <w:ilvl w:val="0"/>
          <w:numId w:val="3"/>
        </w:numPr>
        <w:tabs>
          <w:tab w:val="left" w:pos="709"/>
        </w:tabs>
        <w:rPr>
          <w:rFonts w:cs="Arial"/>
          <w:i/>
          <w:sz w:val="20"/>
        </w:rPr>
      </w:pPr>
      <w:r>
        <w:rPr>
          <w:rFonts w:cs="Arial"/>
          <w:sz w:val="20"/>
        </w:rPr>
        <w:t>relazione trasmessa alla Sezione di Controllo della Corte dei Conti degli effetti del piano triennale di contenimento delle spese (art.2, Legge 244/07, commi da 594 a 599);</w:t>
      </w:r>
    </w:p>
    <w:p w:rsidR="00C30A8E" w:rsidRDefault="00F84CB3">
      <w:pPr>
        <w:numPr>
          <w:ilvl w:val="0"/>
          <w:numId w:val="3"/>
        </w:numPr>
        <w:tabs>
          <w:tab w:val="left" w:pos="709"/>
        </w:tabs>
        <w:rPr>
          <w:rFonts w:cs="Arial"/>
          <w:sz w:val="20"/>
        </w:rPr>
      </w:pPr>
      <w:r>
        <w:rPr>
          <w:rFonts w:cs="Arial"/>
          <w:sz w:val="20"/>
        </w:rPr>
        <w:t>attestazione,</w:t>
      </w:r>
      <w:r w:rsidR="00153004">
        <w:rPr>
          <w:rFonts w:cs="Arial"/>
          <w:sz w:val="20"/>
        </w:rPr>
        <w:t xml:space="preserve"> </w:t>
      </w:r>
      <w:r>
        <w:rPr>
          <w:rFonts w:cs="Arial"/>
          <w:sz w:val="20"/>
        </w:rPr>
        <w:t>rilasciata dai responsabili dei servizi, dell’insussistenza alla chiusura dell’esercizio di debiti fuori bilancio;</w:t>
      </w:r>
    </w:p>
    <w:p w:rsidR="00C30A8E" w:rsidRDefault="00F84CB3">
      <w:pPr>
        <w:numPr>
          <w:ilvl w:val="0"/>
          <w:numId w:val="1"/>
        </w:numPr>
        <w:rPr>
          <w:rFonts w:cs="Arial"/>
          <w:sz w:val="20"/>
        </w:rPr>
      </w:pPr>
      <w:r>
        <w:rPr>
          <w:rFonts w:cs="Arial"/>
          <w:sz w:val="20"/>
        </w:rPr>
        <w:t xml:space="preserve">visto il bilancio di previsione dell’esercizio 2016 con le relative delibere di variazione; </w:t>
      </w:r>
    </w:p>
    <w:p w:rsidR="00C30A8E" w:rsidRDefault="00F84CB3">
      <w:pPr>
        <w:numPr>
          <w:ilvl w:val="0"/>
          <w:numId w:val="1"/>
        </w:numPr>
        <w:rPr>
          <w:rFonts w:cs="Arial"/>
          <w:sz w:val="20"/>
        </w:rPr>
      </w:pPr>
      <w:r>
        <w:rPr>
          <w:rFonts w:cs="Arial"/>
          <w:sz w:val="20"/>
        </w:rPr>
        <w:t>viste le disposizioni del titolo IV del TUEL (organizzazione e personale);</w:t>
      </w:r>
    </w:p>
    <w:p w:rsidR="00C30A8E" w:rsidRDefault="00F84CB3">
      <w:pPr>
        <w:numPr>
          <w:ilvl w:val="0"/>
          <w:numId w:val="1"/>
        </w:numPr>
        <w:rPr>
          <w:rFonts w:cs="Arial"/>
          <w:sz w:val="20"/>
        </w:rPr>
      </w:pPr>
      <w:r>
        <w:rPr>
          <w:rFonts w:cs="Arial"/>
          <w:sz w:val="20"/>
        </w:rPr>
        <w:t>visto l’articolo 239, comma 1 lettera d) del TUEL;</w:t>
      </w:r>
    </w:p>
    <w:p w:rsidR="00C30A8E" w:rsidRDefault="00F84CB3">
      <w:pPr>
        <w:numPr>
          <w:ilvl w:val="0"/>
          <w:numId w:val="1"/>
        </w:numPr>
        <w:rPr>
          <w:rFonts w:cs="Arial"/>
          <w:sz w:val="20"/>
        </w:rPr>
      </w:pPr>
      <w:r>
        <w:rPr>
          <w:rFonts w:cs="Arial"/>
          <w:sz w:val="20"/>
        </w:rPr>
        <w:t>visto il D.lgs. 23/06/2011 n. 118;</w:t>
      </w:r>
    </w:p>
    <w:p w:rsidR="00C30A8E" w:rsidRDefault="00F84CB3">
      <w:pPr>
        <w:numPr>
          <w:ilvl w:val="0"/>
          <w:numId w:val="1"/>
        </w:numPr>
        <w:rPr>
          <w:rFonts w:cs="Arial"/>
          <w:sz w:val="20"/>
        </w:rPr>
      </w:pPr>
      <w:r>
        <w:rPr>
          <w:rFonts w:cs="Arial"/>
          <w:sz w:val="20"/>
        </w:rPr>
        <w:t>visti i principi contabili applicabili agli enti locali per l’anno 2016;</w:t>
      </w:r>
    </w:p>
    <w:p w:rsidR="00C30A8E" w:rsidRPr="009076DA" w:rsidRDefault="00F84CB3">
      <w:pPr>
        <w:numPr>
          <w:ilvl w:val="0"/>
          <w:numId w:val="1"/>
        </w:numPr>
        <w:rPr>
          <w:rFonts w:cs="Arial"/>
          <w:sz w:val="20"/>
        </w:rPr>
      </w:pPr>
      <w:r w:rsidRPr="009076DA">
        <w:rPr>
          <w:rFonts w:cs="Arial"/>
          <w:sz w:val="20"/>
        </w:rPr>
        <w:t>visto il regolamento di contabilità approvato con delibera dell’organo consiliare</w:t>
      </w:r>
      <w:r w:rsidRPr="009076DA">
        <w:rPr>
          <w:rFonts w:cs="Arial"/>
          <w:i/>
          <w:sz w:val="20"/>
        </w:rPr>
        <w:t xml:space="preserve"> </w:t>
      </w:r>
      <w:r w:rsidRPr="009076DA">
        <w:rPr>
          <w:rFonts w:cs="Arial"/>
          <w:sz w:val="20"/>
        </w:rPr>
        <w:t>n.</w:t>
      </w:r>
      <w:r w:rsidR="006F5B7B" w:rsidRPr="009076DA">
        <w:rPr>
          <w:rFonts w:cs="Arial"/>
          <w:sz w:val="20"/>
        </w:rPr>
        <w:t xml:space="preserve"> </w:t>
      </w:r>
      <w:r w:rsidR="009076DA" w:rsidRPr="009076DA">
        <w:rPr>
          <w:rFonts w:cs="Arial"/>
          <w:sz w:val="20"/>
        </w:rPr>
        <w:t>24</w:t>
      </w:r>
      <w:r w:rsidRPr="009076DA">
        <w:rPr>
          <w:rFonts w:cs="Arial"/>
          <w:sz w:val="20"/>
        </w:rPr>
        <w:t xml:space="preserve"> del </w:t>
      </w:r>
      <w:r w:rsidR="009076DA" w:rsidRPr="009076DA">
        <w:rPr>
          <w:rFonts w:cs="Arial"/>
          <w:sz w:val="20"/>
        </w:rPr>
        <w:t>28</w:t>
      </w:r>
      <w:r w:rsidRPr="009076DA">
        <w:rPr>
          <w:rFonts w:cs="Arial"/>
          <w:sz w:val="20"/>
        </w:rPr>
        <w:t>.</w:t>
      </w:r>
      <w:r w:rsidR="009076DA" w:rsidRPr="009076DA">
        <w:rPr>
          <w:rFonts w:cs="Arial"/>
          <w:sz w:val="20"/>
        </w:rPr>
        <w:t>07</w:t>
      </w:r>
      <w:r w:rsidRPr="009076DA">
        <w:rPr>
          <w:rFonts w:cs="Arial"/>
          <w:sz w:val="20"/>
        </w:rPr>
        <w:t>.</w:t>
      </w:r>
      <w:r w:rsidR="009076DA" w:rsidRPr="009076DA">
        <w:rPr>
          <w:rFonts w:cs="Arial"/>
          <w:sz w:val="20"/>
        </w:rPr>
        <w:t>2016</w:t>
      </w:r>
      <w:r w:rsidRPr="009076DA">
        <w:rPr>
          <w:rFonts w:cs="Arial"/>
          <w:sz w:val="20"/>
        </w:rPr>
        <w:t>;</w:t>
      </w:r>
    </w:p>
    <w:p w:rsidR="00C30A8E" w:rsidRDefault="00F84CB3">
      <w:pPr>
        <w:numPr>
          <w:ilvl w:val="12"/>
          <w:numId w:val="0"/>
        </w:numPr>
        <w:spacing w:before="120" w:after="240"/>
        <w:jc w:val="center"/>
        <w:rPr>
          <w:rFonts w:cs="Arial"/>
          <w:b/>
          <w:caps/>
          <w:sz w:val="20"/>
        </w:rPr>
      </w:pPr>
      <w:r>
        <w:rPr>
          <w:rFonts w:cs="Arial"/>
          <w:b/>
          <w:caps/>
          <w:sz w:val="20"/>
        </w:rPr>
        <w:t xml:space="preserve">rilevato </w:t>
      </w:r>
    </w:p>
    <w:p w:rsidR="00C30A8E" w:rsidRPr="007209B1" w:rsidRDefault="00F84CB3" w:rsidP="007209B1">
      <w:pPr>
        <w:ind w:left="283"/>
        <w:rPr>
          <w:rFonts w:cs="Arial"/>
          <w:sz w:val="20"/>
        </w:rPr>
      </w:pPr>
      <w:r w:rsidRPr="007209B1">
        <w:rPr>
          <w:rFonts w:cs="Arial"/>
          <w:sz w:val="20"/>
        </w:rPr>
        <w:t>Che alla proposta di rendiconto sono allegati l’inventario e lo stato patrimoniale al 1/1/2016 di avvio della nuova contabilità, riclassificati e rivalutati, nel rispetto del principio contabile applicato 4/3, con l’indicazione delle differenze di rivalutazione e un prospetto di raccordo tra la vecchia e la nuova classificazione per l’approvazione da parte del Consiglio prima dell’approvazione del rendiconto.</w:t>
      </w:r>
    </w:p>
    <w:p w:rsidR="00C30A8E" w:rsidRDefault="00F84CB3">
      <w:pPr>
        <w:numPr>
          <w:ilvl w:val="12"/>
          <w:numId w:val="0"/>
        </w:numPr>
        <w:spacing w:before="120" w:after="240"/>
        <w:jc w:val="center"/>
        <w:rPr>
          <w:rFonts w:cs="Arial"/>
          <w:caps/>
          <w:sz w:val="20"/>
        </w:rPr>
      </w:pPr>
      <w:r>
        <w:rPr>
          <w:rFonts w:cs="Arial"/>
          <w:b/>
          <w:caps/>
          <w:sz w:val="20"/>
        </w:rPr>
        <w:t>Tenuto conto che</w:t>
      </w:r>
    </w:p>
    <w:p w:rsidR="00C30A8E" w:rsidRDefault="00F84CB3">
      <w:pPr>
        <w:numPr>
          <w:ilvl w:val="0"/>
          <w:numId w:val="1"/>
        </w:numPr>
        <w:rPr>
          <w:rFonts w:cs="Arial"/>
          <w:sz w:val="20"/>
        </w:rPr>
      </w:pPr>
      <w:r>
        <w:rPr>
          <w:rFonts w:cs="Arial"/>
          <w:sz w:val="20"/>
        </w:rPr>
        <w:t>durante l’esercizio le funzioni sono state svolte in ottemperanza alle competenze contenute nell’art. 239 del TUEL avvalendosi per il controllo di regolarità amministrativa e contabile di tecniche motivate di campionamento;</w:t>
      </w:r>
    </w:p>
    <w:p w:rsidR="00C30A8E" w:rsidRDefault="00F84CB3">
      <w:pPr>
        <w:numPr>
          <w:ilvl w:val="0"/>
          <w:numId w:val="1"/>
        </w:numPr>
        <w:rPr>
          <w:rFonts w:cs="Arial"/>
          <w:sz w:val="20"/>
        </w:rPr>
      </w:pPr>
      <w:r>
        <w:rPr>
          <w:rFonts w:cs="Arial"/>
          <w:sz w:val="20"/>
        </w:rPr>
        <w:t>il controllo contabile è stato svolto in assoluta indipendenza soggettiva ed oggettiva nei confronti delle persone che determinano gli atti e le operazioni dell’ente;</w:t>
      </w:r>
    </w:p>
    <w:p w:rsidR="00C30A8E" w:rsidRDefault="00F84CB3">
      <w:pPr>
        <w:numPr>
          <w:ilvl w:val="0"/>
          <w:numId w:val="1"/>
        </w:numPr>
        <w:rPr>
          <w:rFonts w:cs="Arial"/>
          <w:sz w:val="20"/>
        </w:rPr>
      </w:pPr>
      <w:r>
        <w:rPr>
          <w:rFonts w:cs="Arial"/>
          <w:sz w:val="20"/>
        </w:rPr>
        <w:t>Si è provveduto a verificare la regolarità ed i presupposti delle variazioni di bilancio approvate nel corso dell’esercizio dalla Giunta, dal responsabile del servizio finanziario e dai dirigenti, anche nel corso dell’esercizio provvisorio;</w:t>
      </w:r>
    </w:p>
    <w:p w:rsidR="009B3B9E" w:rsidRDefault="009B3B9E">
      <w:pPr>
        <w:jc w:val="center"/>
        <w:rPr>
          <w:rFonts w:cs="Arial"/>
          <w:b/>
          <w:iCs/>
          <w:caps/>
          <w:sz w:val="20"/>
        </w:rPr>
      </w:pPr>
    </w:p>
    <w:p w:rsidR="00C30A8E" w:rsidRDefault="00F84CB3">
      <w:pPr>
        <w:jc w:val="center"/>
        <w:rPr>
          <w:rFonts w:cs="Arial"/>
          <w:b/>
          <w:iCs/>
          <w:caps/>
          <w:sz w:val="20"/>
        </w:rPr>
      </w:pPr>
      <w:r>
        <w:rPr>
          <w:rFonts w:cs="Arial"/>
          <w:b/>
          <w:iCs/>
          <w:caps/>
          <w:sz w:val="20"/>
        </w:rPr>
        <w:t>Riporta</w:t>
      </w:r>
    </w:p>
    <w:p w:rsidR="00C30A8E" w:rsidRDefault="00F84CB3">
      <w:pPr>
        <w:numPr>
          <w:ilvl w:val="12"/>
          <w:numId w:val="0"/>
        </w:numPr>
        <w:rPr>
          <w:rFonts w:cs="Arial"/>
          <w:sz w:val="20"/>
        </w:rPr>
      </w:pPr>
      <w:r>
        <w:rPr>
          <w:rFonts w:cs="Arial"/>
          <w:sz w:val="20"/>
        </w:rPr>
        <w:t>i risultati dell’analisi e le attestazioni sul rendiconto per l’esercizio 2016.</w:t>
      </w:r>
    </w:p>
    <w:p w:rsidR="00C30A8E" w:rsidRDefault="00C30A8E">
      <w:pPr>
        <w:pStyle w:val="Intestazione"/>
        <w:tabs>
          <w:tab w:val="clear" w:pos="4819"/>
          <w:tab w:val="clear" w:pos="9638"/>
        </w:tabs>
        <w:rPr>
          <w:rFonts w:cs="Arial"/>
          <w:sz w:val="20"/>
        </w:rPr>
      </w:pPr>
    </w:p>
    <w:p w:rsidR="00C30A8E" w:rsidRDefault="00F84CB3">
      <w:pPr>
        <w:pStyle w:val="Titolo1"/>
        <w:shd w:val="clear" w:color="auto" w:fill="D6E3BC" w:themeFill="accent3" w:themeFillTint="66"/>
      </w:pPr>
      <w:bookmarkStart w:id="1" w:name="_Toc379377453"/>
      <w:r>
        <w:t>CONTO DEL BILANCIO</w:t>
      </w:r>
      <w:bookmarkEnd w:id="1"/>
    </w:p>
    <w:p w:rsidR="007209B1" w:rsidRDefault="007209B1">
      <w:pPr>
        <w:pStyle w:val="Titolo2"/>
      </w:pPr>
      <w:bookmarkStart w:id="2" w:name="_Toc379377454"/>
    </w:p>
    <w:p w:rsidR="00C30A8E" w:rsidRDefault="00F84CB3">
      <w:pPr>
        <w:pStyle w:val="Titolo2"/>
        <w:rPr>
          <w:szCs w:val="28"/>
        </w:rPr>
      </w:pPr>
      <w:r>
        <w:t>Verifiche preliminari</w:t>
      </w:r>
      <w:bookmarkEnd w:id="2"/>
    </w:p>
    <w:p w:rsidR="00C30A8E" w:rsidRDefault="00F84CB3">
      <w:pPr>
        <w:rPr>
          <w:rFonts w:cs="Arial"/>
          <w:sz w:val="20"/>
        </w:rPr>
      </w:pPr>
      <w:r>
        <w:rPr>
          <w:rFonts w:cs="Arial"/>
          <w:sz w:val="20"/>
        </w:rPr>
        <w:t>L’organo di revisione ha verificato utilizzando, ove consentito, motivate tecniche di campionamento:</w:t>
      </w:r>
    </w:p>
    <w:p w:rsidR="00C30A8E" w:rsidRDefault="00F84CB3">
      <w:pPr>
        <w:numPr>
          <w:ilvl w:val="0"/>
          <w:numId w:val="7"/>
        </w:numPr>
        <w:tabs>
          <w:tab w:val="left" w:pos="709"/>
        </w:tabs>
        <w:ind w:hanging="357"/>
        <w:rPr>
          <w:rFonts w:cs="Arial"/>
          <w:sz w:val="20"/>
        </w:rPr>
      </w:pPr>
      <w:r>
        <w:rPr>
          <w:rFonts w:cs="Arial"/>
          <w:sz w:val="20"/>
        </w:rPr>
        <w:t>la regolarità delle procedure per la contabilizzazione delle entrate e delle spese in conformità alle disposizioni di legge e regolamentari;</w:t>
      </w:r>
    </w:p>
    <w:p w:rsidR="00C30A8E" w:rsidRDefault="00F84CB3">
      <w:pPr>
        <w:numPr>
          <w:ilvl w:val="0"/>
          <w:numId w:val="7"/>
        </w:numPr>
        <w:tabs>
          <w:tab w:val="left" w:pos="709"/>
        </w:tabs>
        <w:ind w:hanging="357"/>
        <w:rPr>
          <w:rFonts w:cs="Arial"/>
          <w:sz w:val="20"/>
        </w:rPr>
      </w:pPr>
      <w:r>
        <w:rPr>
          <w:rFonts w:cs="Arial"/>
          <w:sz w:val="20"/>
        </w:rPr>
        <w:t xml:space="preserve">la corrispondenza tra i dati riportati nel conto del bilancio con quelli risultanti dalle scritture contabili; </w:t>
      </w:r>
    </w:p>
    <w:p w:rsidR="00C30A8E" w:rsidRDefault="00F84CB3">
      <w:pPr>
        <w:numPr>
          <w:ilvl w:val="0"/>
          <w:numId w:val="7"/>
        </w:numPr>
        <w:tabs>
          <w:tab w:val="left" w:pos="709"/>
        </w:tabs>
        <w:ind w:hanging="357"/>
        <w:rPr>
          <w:rFonts w:cs="Arial"/>
          <w:color w:val="000000"/>
          <w:sz w:val="20"/>
        </w:rPr>
      </w:pPr>
      <w:r>
        <w:rPr>
          <w:rFonts w:cs="Arial"/>
          <w:sz w:val="20"/>
        </w:rPr>
        <w:t xml:space="preserve">il rispetto del principio della </w:t>
      </w:r>
      <w:r>
        <w:rPr>
          <w:rFonts w:cs="Arial"/>
          <w:color w:val="000000"/>
          <w:sz w:val="20"/>
        </w:rPr>
        <w:t>competenza finanziaria nella rilevazione degli accertamenti e degli impegni;</w:t>
      </w:r>
    </w:p>
    <w:p w:rsidR="00C30A8E" w:rsidRDefault="00F84CB3">
      <w:pPr>
        <w:numPr>
          <w:ilvl w:val="0"/>
          <w:numId w:val="7"/>
        </w:numPr>
        <w:tabs>
          <w:tab w:val="left" w:pos="709"/>
        </w:tabs>
        <w:ind w:hanging="357"/>
        <w:rPr>
          <w:rFonts w:cs="Arial"/>
          <w:sz w:val="20"/>
        </w:rPr>
      </w:pPr>
      <w:r>
        <w:rPr>
          <w:rFonts w:cs="Arial"/>
          <w:color w:val="000000"/>
          <w:sz w:val="20"/>
        </w:rPr>
        <w:t>la corretta rappresentazione del conto del bilancio nei riepiloghi e nei risultati di cassa e di competenza finanziaria;</w:t>
      </w:r>
    </w:p>
    <w:p w:rsidR="00C30A8E" w:rsidRDefault="00F84CB3">
      <w:pPr>
        <w:numPr>
          <w:ilvl w:val="0"/>
          <w:numId w:val="7"/>
        </w:numPr>
        <w:tabs>
          <w:tab w:val="left" w:pos="709"/>
        </w:tabs>
        <w:ind w:hanging="357"/>
        <w:rPr>
          <w:rFonts w:cs="Arial"/>
          <w:sz w:val="20"/>
        </w:rPr>
      </w:pPr>
      <w:r>
        <w:rPr>
          <w:rFonts w:cs="Arial"/>
          <w:color w:val="000000"/>
          <w:sz w:val="20"/>
        </w:rPr>
        <w:t xml:space="preserve">la corrispondenza tra le entrate a destinazione specifica e gli impegni di spesa assunti in base alle relative disposizioni di legge; </w:t>
      </w:r>
    </w:p>
    <w:p w:rsidR="00C30A8E" w:rsidRDefault="00F84CB3">
      <w:pPr>
        <w:numPr>
          <w:ilvl w:val="0"/>
          <w:numId w:val="7"/>
        </w:numPr>
        <w:tabs>
          <w:tab w:val="left" w:pos="709"/>
        </w:tabs>
        <w:ind w:hanging="357"/>
        <w:rPr>
          <w:rFonts w:cs="Arial"/>
          <w:sz w:val="20"/>
        </w:rPr>
      </w:pPr>
      <w:r>
        <w:rPr>
          <w:rFonts w:cs="Arial"/>
          <w:color w:val="000000"/>
          <w:sz w:val="20"/>
        </w:rPr>
        <w:t>l’equivalenza tra gli accertamenti di entrata e gli impegni di spesa  nelle partite di giro e nei servizi per conto terzi;</w:t>
      </w:r>
    </w:p>
    <w:p w:rsidR="00C30A8E" w:rsidRDefault="00F84CB3">
      <w:pPr>
        <w:numPr>
          <w:ilvl w:val="0"/>
          <w:numId w:val="7"/>
        </w:numPr>
        <w:tabs>
          <w:tab w:val="left" w:pos="709"/>
        </w:tabs>
        <w:ind w:hanging="357"/>
        <w:rPr>
          <w:rFonts w:cs="Arial"/>
          <w:sz w:val="20"/>
        </w:rPr>
      </w:pPr>
      <w:r>
        <w:rPr>
          <w:rFonts w:cs="Arial"/>
          <w:color w:val="000000"/>
          <w:sz w:val="20"/>
        </w:rPr>
        <w:t>il rispetto dei limiti di indebitamento e del divieto di indebitarsi per spese diverse da quelle d’investimento;</w:t>
      </w:r>
    </w:p>
    <w:p w:rsidR="00C30A8E" w:rsidRDefault="00F84CB3">
      <w:pPr>
        <w:numPr>
          <w:ilvl w:val="0"/>
          <w:numId w:val="7"/>
        </w:numPr>
        <w:tabs>
          <w:tab w:val="left" w:pos="709"/>
        </w:tabs>
        <w:ind w:hanging="357"/>
        <w:rPr>
          <w:rFonts w:cs="Arial"/>
          <w:sz w:val="20"/>
        </w:rPr>
      </w:pPr>
      <w:r>
        <w:rPr>
          <w:rFonts w:cs="Arial"/>
          <w:color w:val="000000"/>
          <w:sz w:val="20"/>
        </w:rPr>
        <w:t>il rispetto degli obiettivi di finanza pubblica e nel caso negativo della corretta applicazione delle sanzioni;</w:t>
      </w:r>
    </w:p>
    <w:p w:rsidR="00C30A8E" w:rsidRDefault="00F84CB3">
      <w:pPr>
        <w:numPr>
          <w:ilvl w:val="0"/>
          <w:numId w:val="7"/>
        </w:numPr>
        <w:tabs>
          <w:tab w:val="left" w:pos="709"/>
        </w:tabs>
        <w:ind w:hanging="357"/>
        <w:rPr>
          <w:rFonts w:cs="Arial"/>
          <w:sz w:val="20"/>
        </w:rPr>
      </w:pPr>
      <w:r>
        <w:rPr>
          <w:rFonts w:cs="Arial"/>
          <w:color w:val="000000"/>
          <w:sz w:val="20"/>
        </w:rPr>
        <w:t>il rispetto del contenimento e riduzione delle spese di personale e dei vincoli sulle assunzioni;</w:t>
      </w:r>
    </w:p>
    <w:p w:rsidR="00C30A8E" w:rsidRDefault="00F84CB3">
      <w:pPr>
        <w:numPr>
          <w:ilvl w:val="0"/>
          <w:numId w:val="7"/>
        </w:numPr>
        <w:tabs>
          <w:tab w:val="left" w:pos="709"/>
        </w:tabs>
        <w:ind w:hanging="357"/>
        <w:rPr>
          <w:rFonts w:cs="Arial"/>
          <w:sz w:val="20"/>
        </w:rPr>
      </w:pPr>
      <w:r>
        <w:rPr>
          <w:rFonts w:cs="Arial"/>
          <w:color w:val="000000"/>
          <w:sz w:val="20"/>
        </w:rPr>
        <w:t>il rispetto dei vincoli di spesa per acquisto di beni e servizi;</w:t>
      </w:r>
    </w:p>
    <w:p w:rsidR="00C30A8E" w:rsidRDefault="00F84CB3">
      <w:pPr>
        <w:numPr>
          <w:ilvl w:val="0"/>
          <w:numId w:val="7"/>
        </w:numPr>
        <w:tabs>
          <w:tab w:val="left" w:pos="709"/>
        </w:tabs>
        <w:ind w:hanging="357"/>
        <w:rPr>
          <w:rFonts w:cs="Arial"/>
          <w:sz w:val="20"/>
        </w:rPr>
      </w:pPr>
      <w:r>
        <w:rPr>
          <w:rFonts w:cs="Arial"/>
          <w:color w:val="000000"/>
          <w:sz w:val="20"/>
        </w:rPr>
        <w:t>i rapporti di credito e debito al 31/12/2016 con le società partecipate;</w:t>
      </w:r>
    </w:p>
    <w:p w:rsidR="00C30A8E" w:rsidRPr="00E96561" w:rsidRDefault="00F84CB3">
      <w:pPr>
        <w:numPr>
          <w:ilvl w:val="0"/>
          <w:numId w:val="7"/>
        </w:numPr>
        <w:tabs>
          <w:tab w:val="left" w:pos="709"/>
        </w:tabs>
        <w:ind w:hanging="357"/>
        <w:rPr>
          <w:rFonts w:cs="Arial"/>
          <w:sz w:val="20"/>
        </w:rPr>
      </w:pPr>
      <w:r>
        <w:rPr>
          <w:rFonts w:cs="Arial"/>
          <w:color w:val="000000"/>
          <w:sz w:val="20"/>
        </w:rPr>
        <w:t xml:space="preserve">la corretta applicazione da parte degli organismi partecipati della limitazione alla composizione </w:t>
      </w:r>
      <w:r w:rsidRPr="00E96561">
        <w:rPr>
          <w:rFonts w:cs="Arial"/>
          <w:color w:val="000000"/>
          <w:sz w:val="20"/>
        </w:rPr>
        <w:t>agli organi ed ai compensi;</w:t>
      </w:r>
    </w:p>
    <w:p w:rsidR="00C30A8E" w:rsidRPr="00E96561" w:rsidRDefault="00F84CB3">
      <w:pPr>
        <w:numPr>
          <w:ilvl w:val="0"/>
          <w:numId w:val="7"/>
        </w:numPr>
        <w:rPr>
          <w:rFonts w:cs="Arial"/>
          <w:sz w:val="20"/>
        </w:rPr>
      </w:pPr>
      <w:r w:rsidRPr="00E96561">
        <w:rPr>
          <w:rFonts w:cs="Arial"/>
          <w:sz w:val="20"/>
        </w:rPr>
        <w:t xml:space="preserve">che l’ente ha provveduto alla verifica degli equilibri finanziari ai sensi dell’art. 193 del TUEL in data </w:t>
      </w:r>
      <w:r w:rsidR="00E96561" w:rsidRPr="00E96561">
        <w:rPr>
          <w:rFonts w:cs="Arial"/>
          <w:sz w:val="20"/>
        </w:rPr>
        <w:t>28.07</w:t>
      </w:r>
      <w:r w:rsidRPr="00E96561">
        <w:rPr>
          <w:rFonts w:cs="Arial"/>
          <w:sz w:val="20"/>
        </w:rPr>
        <w:t xml:space="preserve">.2016, con delibera n. </w:t>
      </w:r>
      <w:r w:rsidR="00E96561" w:rsidRPr="00E96561">
        <w:rPr>
          <w:rFonts w:cs="Arial"/>
          <w:sz w:val="20"/>
        </w:rPr>
        <w:t>26</w:t>
      </w:r>
      <w:r w:rsidRPr="00E96561">
        <w:rPr>
          <w:rFonts w:cs="Arial"/>
          <w:sz w:val="20"/>
        </w:rPr>
        <w:t>;</w:t>
      </w:r>
    </w:p>
    <w:p w:rsidR="00C30A8E" w:rsidRDefault="00F84CB3">
      <w:pPr>
        <w:numPr>
          <w:ilvl w:val="0"/>
          <w:numId w:val="7"/>
        </w:numPr>
        <w:rPr>
          <w:rFonts w:cs="Arial"/>
          <w:sz w:val="20"/>
        </w:rPr>
      </w:pPr>
      <w:r>
        <w:rPr>
          <w:rFonts w:cs="Arial"/>
          <w:sz w:val="20"/>
        </w:rPr>
        <w:t>che l’ente</w:t>
      </w:r>
      <w:r w:rsidR="00E96561">
        <w:rPr>
          <w:rFonts w:cs="Arial"/>
          <w:sz w:val="20"/>
        </w:rPr>
        <w:t xml:space="preserve"> non</w:t>
      </w:r>
      <w:r>
        <w:rPr>
          <w:rFonts w:cs="Arial"/>
          <w:sz w:val="20"/>
        </w:rPr>
        <w:t xml:space="preserve"> ha ric</w:t>
      </w:r>
      <w:r w:rsidR="00E96561">
        <w:rPr>
          <w:rFonts w:cs="Arial"/>
          <w:sz w:val="20"/>
        </w:rPr>
        <w:t>onosciuto debiti fuori bilancio;</w:t>
      </w:r>
    </w:p>
    <w:p w:rsidR="00C30A8E" w:rsidRDefault="00F84CB3">
      <w:pPr>
        <w:numPr>
          <w:ilvl w:val="0"/>
          <w:numId w:val="7"/>
        </w:numPr>
        <w:rPr>
          <w:rFonts w:cs="Arial"/>
          <w:sz w:val="20"/>
        </w:rPr>
      </w:pPr>
      <w:r>
        <w:rPr>
          <w:rFonts w:cs="Arial"/>
          <w:sz w:val="20"/>
        </w:rPr>
        <w:t xml:space="preserve">che l’ente ha provveduto al riaccertamento ordinario dei residui con atto della G.C. n. </w:t>
      </w:r>
      <w:r w:rsidR="00153004">
        <w:rPr>
          <w:rFonts w:cs="Arial"/>
          <w:sz w:val="20"/>
        </w:rPr>
        <w:t>25</w:t>
      </w:r>
      <w:r>
        <w:rPr>
          <w:rFonts w:cs="Arial"/>
          <w:sz w:val="20"/>
        </w:rPr>
        <w:t xml:space="preserve">  del </w:t>
      </w:r>
      <w:r w:rsidR="0089550D">
        <w:rPr>
          <w:rFonts w:cs="Arial"/>
          <w:sz w:val="20"/>
        </w:rPr>
        <w:t>20.03.2017</w:t>
      </w:r>
      <w:r>
        <w:rPr>
          <w:rFonts w:cs="Arial"/>
          <w:sz w:val="20"/>
        </w:rPr>
        <w:t xml:space="preserve"> come richiesto dall’art. 228 comma 3 del TUEL;   </w:t>
      </w:r>
    </w:p>
    <w:p w:rsidR="00C30A8E" w:rsidRDefault="00F84CB3">
      <w:pPr>
        <w:numPr>
          <w:ilvl w:val="0"/>
          <w:numId w:val="7"/>
        </w:numPr>
        <w:rPr>
          <w:rFonts w:cs="Arial"/>
          <w:sz w:val="20"/>
        </w:rPr>
      </w:pPr>
      <w:r>
        <w:rPr>
          <w:rFonts w:cs="Arial"/>
          <w:sz w:val="20"/>
        </w:rPr>
        <w:t>l’adempimento degli obblighi fiscali relativi a: I.V.A., I.R.A.P., sostituti d’imposta;</w:t>
      </w:r>
    </w:p>
    <w:p w:rsidR="007209B1" w:rsidRDefault="007209B1" w:rsidP="007209B1">
      <w:pPr>
        <w:ind w:left="357"/>
        <w:rPr>
          <w:rFonts w:cs="Arial"/>
          <w:sz w:val="20"/>
        </w:rPr>
      </w:pPr>
    </w:p>
    <w:p w:rsidR="00C30A8E" w:rsidRDefault="00F84CB3">
      <w:pPr>
        <w:pStyle w:val="Titolo2"/>
      </w:pPr>
      <w:bookmarkStart w:id="3" w:name="_Toc379377455"/>
      <w:r>
        <w:t>Gestione Finanziaria</w:t>
      </w:r>
      <w:bookmarkEnd w:id="3"/>
    </w:p>
    <w:p w:rsidR="00C30A8E" w:rsidRPr="00FE4C04" w:rsidRDefault="00F84CB3">
      <w:pPr>
        <w:numPr>
          <w:ilvl w:val="12"/>
          <w:numId w:val="0"/>
        </w:numPr>
        <w:rPr>
          <w:rFonts w:cs="Arial"/>
          <w:sz w:val="20"/>
        </w:rPr>
      </w:pPr>
      <w:r>
        <w:rPr>
          <w:rFonts w:cs="Arial"/>
          <w:sz w:val="20"/>
        </w:rPr>
        <w:t xml:space="preserve">L’organo </w:t>
      </w:r>
      <w:r w:rsidRPr="00FE4C04">
        <w:rPr>
          <w:rFonts w:cs="Arial"/>
          <w:sz w:val="20"/>
        </w:rPr>
        <w:t>di revisione, in riferimento alla gestione finanziaria, rileva e attesta che:</w:t>
      </w:r>
    </w:p>
    <w:p w:rsidR="00C30A8E" w:rsidRPr="00FE4C04" w:rsidRDefault="00F84CB3">
      <w:pPr>
        <w:numPr>
          <w:ilvl w:val="0"/>
          <w:numId w:val="8"/>
        </w:numPr>
        <w:rPr>
          <w:rFonts w:cs="Arial"/>
          <w:sz w:val="20"/>
        </w:rPr>
      </w:pPr>
      <w:r w:rsidRPr="00FE4C04">
        <w:rPr>
          <w:rFonts w:cs="Arial"/>
          <w:sz w:val="20"/>
        </w:rPr>
        <w:t xml:space="preserve">risultano emessi n. </w:t>
      </w:r>
      <w:r w:rsidR="00FE4C04" w:rsidRPr="00FE4C04">
        <w:rPr>
          <w:rFonts w:cs="Arial"/>
          <w:sz w:val="20"/>
        </w:rPr>
        <w:t>781</w:t>
      </w:r>
      <w:r w:rsidRPr="00FE4C04">
        <w:rPr>
          <w:rFonts w:cs="Arial"/>
          <w:sz w:val="20"/>
        </w:rPr>
        <w:t xml:space="preserve"> reversali e n. </w:t>
      </w:r>
      <w:r w:rsidR="00FE4C04" w:rsidRPr="00FE4C04">
        <w:rPr>
          <w:rFonts w:cs="Arial"/>
          <w:sz w:val="20"/>
        </w:rPr>
        <w:t>796</w:t>
      </w:r>
      <w:r w:rsidRPr="00FE4C04">
        <w:rPr>
          <w:rFonts w:cs="Arial"/>
          <w:sz w:val="20"/>
        </w:rPr>
        <w:t xml:space="preserve"> mandati;</w:t>
      </w:r>
    </w:p>
    <w:p w:rsidR="00C30A8E" w:rsidRDefault="00F84CB3">
      <w:pPr>
        <w:numPr>
          <w:ilvl w:val="0"/>
          <w:numId w:val="4"/>
        </w:numPr>
        <w:rPr>
          <w:rFonts w:cs="Arial"/>
          <w:iCs/>
          <w:sz w:val="20"/>
        </w:rPr>
      </w:pPr>
      <w:r w:rsidRPr="00FE4C04">
        <w:rPr>
          <w:rFonts w:cs="Arial"/>
          <w:sz w:val="20"/>
        </w:rPr>
        <w:t>i mandati di pagamento risultano emessi in</w:t>
      </w:r>
      <w:r>
        <w:rPr>
          <w:rFonts w:cs="Arial"/>
          <w:sz w:val="20"/>
        </w:rPr>
        <w:t xml:space="preserve"> forza di provvedimenti esecutivi e sono regolarmente estinti; </w:t>
      </w:r>
    </w:p>
    <w:p w:rsidR="00C30A8E" w:rsidRDefault="00F84CB3">
      <w:pPr>
        <w:numPr>
          <w:ilvl w:val="0"/>
          <w:numId w:val="4"/>
        </w:numPr>
        <w:rPr>
          <w:rFonts w:cs="Arial"/>
          <w:sz w:val="20"/>
        </w:rPr>
      </w:pPr>
      <w:r>
        <w:rPr>
          <w:rFonts w:cs="Arial"/>
          <w:sz w:val="20"/>
        </w:rPr>
        <w:t>il ricorso all’indebitamento è stato effettuato nel rispetto dell’art. 119 della Costituzione e degli articoli 203 e 204 del TUEL, rispettando i limiti di cui al primo del citato articolo 204;</w:t>
      </w:r>
    </w:p>
    <w:p w:rsidR="00C30A8E" w:rsidRDefault="00F84CB3">
      <w:pPr>
        <w:numPr>
          <w:ilvl w:val="0"/>
          <w:numId w:val="4"/>
        </w:numPr>
        <w:rPr>
          <w:rFonts w:cs="Arial"/>
          <w:sz w:val="20"/>
        </w:rPr>
      </w:pPr>
      <w:r>
        <w:rPr>
          <w:rFonts w:cs="Arial"/>
          <w:sz w:val="20"/>
        </w:rPr>
        <w:t>gli agenti contabili, in attuazione degli articoli 226 e 233 del TUEL, hanno reso il conto della loro gestione entro il 30 gennaio 2017, allegando i documenti previsti;</w:t>
      </w:r>
    </w:p>
    <w:p w:rsidR="00BD0127" w:rsidRPr="009E0675" w:rsidRDefault="00F84CB3" w:rsidP="007209B1">
      <w:pPr>
        <w:numPr>
          <w:ilvl w:val="0"/>
          <w:numId w:val="4"/>
        </w:numPr>
        <w:rPr>
          <w:rFonts w:cs="Arial"/>
          <w:sz w:val="20"/>
        </w:rPr>
      </w:pPr>
      <w:r>
        <w:rPr>
          <w:rFonts w:cs="Arial"/>
          <w:sz w:val="20"/>
        </w:rPr>
        <w:t xml:space="preserve">I pagamenti e le riscossioni, sia in conto competenza che in conto residui, coincidono con il conto del tesoriere dell’ente, banca </w:t>
      </w:r>
      <w:r w:rsidR="0089550D">
        <w:rPr>
          <w:rFonts w:cs="Arial"/>
          <w:sz w:val="20"/>
        </w:rPr>
        <w:t>Unicredit S.p.a.</w:t>
      </w:r>
      <w:r>
        <w:rPr>
          <w:rFonts w:cs="Arial"/>
          <w:sz w:val="20"/>
        </w:rPr>
        <w:t>, reso entro il 30 gennaio 2017 e si compendiano nel seguente riepilogo:</w:t>
      </w:r>
    </w:p>
    <w:p w:rsidR="00BD0127" w:rsidRDefault="00BD0127" w:rsidP="007209B1">
      <w:pPr>
        <w:rPr>
          <w:rFonts w:cs="Arial"/>
          <w:sz w:val="20"/>
        </w:rPr>
      </w:pPr>
    </w:p>
    <w:p w:rsidR="00BD0127" w:rsidRDefault="00BD0127" w:rsidP="007209B1">
      <w:pPr>
        <w:rPr>
          <w:rFonts w:cs="Arial"/>
          <w:sz w:val="20"/>
        </w:rPr>
      </w:pPr>
    </w:p>
    <w:p w:rsidR="00C30A8E" w:rsidRDefault="00F84CB3">
      <w:pPr>
        <w:pStyle w:val="Titolo2"/>
        <w:pBdr>
          <w:top w:val="single" w:sz="4" w:space="1" w:color="auto"/>
          <w:left w:val="single" w:sz="4" w:space="4" w:color="auto"/>
          <w:bottom w:val="single" w:sz="4" w:space="1" w:color="auto"/>
          <w:right w:val="single" w:sz="4" w:space="4" w:color="auto"/>
        </w:pBdr>
      </w:pPr>
      <w:bookmarkStart w:id="4" w:name="_Toc379377456"/>
      <w:r>
        <w:t>Risultati della gestione</w:t>
      </w:r>
      <w:bookmarkEnd w:id="4"/>
    </w:p>
    <w:p w:rsidR="00C30A8E" w:rsidRDefault="00F84CB3">
      <w:pPr>
        <w:pStyle w:val="Titolo3"/>
        <w:rPr>
          <w:color w:val="4F6228" w:themeColor="accent3" w:themeShade="80"/>
        </w:rPr>
      </w:pPr>
      <w:r>
        <w:rPr>
          <w:color w:val="4F6228" w:themeColor="accent3" w:themeShade="80"/>
        </w:rPr>
        <w:t>Saldo di cassa</w:t>
      </w:r>
    </w:p>
    <w:p w:rsidR="00C30A8E" w:rsidRDefault="00F84CB3">
      <w:pPr>
        <w:spacing w:after="240"/>
        <w:rPr>
          <w:rFonts w:cs="Arial"/>
          <w:sz w:val="20"/>
        </w:rPr>
      </w:pPr>
      <w:r>
        <w:rPr>
          <w:rFonts w:cs="Arial"/>
          <w:sz w:val="20"/>
        </w:rPr>
        <w:t>Il saldo di cassa al 31/12/2016 risulta così determinato:</w:t>
      </w:r>
    </w:p>
    <w:bookmarkStart w:id="5" w:name="_MON_1519636553"/>
    <w:bookmarkEnd w:id="5"/>
    <w:p w:rsidR="00C30A8E" w:rsidRDefault="002D223F">
      <w:pPr>
        <w:spacing w:after="240"/>
        <w:rPr>
          <w:rFonts w:cs="Arial"/>
          <w:sz w:val="20"/>
        </w:rPr>
      </w:pPr>
      <w:r>
        <w:rPr>
          <w:rFonts w:cs="Arial"/>
          <w:sz w:val="20"/>
        </w:rPr>
        <w:object w:dxaOrig="9870" w:dyaOrig="2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52.4pt" o:ole="">
            <v:imagedata r:id="rId8" o:title=""/>
          </v:shape>
          <o:OLEObject Type="Embed" ProgID="Excel.Sheet.12" ShapeID="_x0000_i1025" DrawAspect="Content" ObjectID="_1556368297" r:id="rId9"/>
        </w:object>
      </w:r>
    </w:p>
    <w:p w:rsidR="0089550D" w:rsidRDefault="00F84CB3">
      <w:pPr>
        <w:rPr>
          <w:rFonts w:cs="Arial"/>
          <w:sz w:val="20"/>
        </w:rPr>
      </w:pPr>
      <w:r>
        <w:rPr>
          <w:rFonts w:cs="Arial"/>
          <w:sz w:val="20"/>
        </w:rPr>
        <w:t xml:space="preserve">Nel conto del tesoriere al 31/12/2016 </w:t>
      </w:r>
      <w:r w:rsidR="0089550D">
        <w:rPr>
          <w:rFonts w:cs="Arial"/>
          <w:sz w:val="20"/>
        </w:rPr>
        <w:t xml:space="preserve">non </w:t>
      </w:r>
      <w:r>
        <w:rPr>
          <w:rFonts w:cs="Arial"/>
          <w:sz w:val="20"/>
        </w:rPr>
        <w:t>sono indicati p</w:t>
      </w:r>
      <w:r w:rsidR="0089550D">
        <w:rPr>
          <w:rFonts w:cs="Arial"/>
          <w:sz w:val="20"/>
        </w:rPr>
        <w:t>agamenti per esecuzione forzata.</w:t>
      </w:r>
    </w:p>
    <w:p w:rsidR="00C30A8E" w:rsidRDefault="00F84CB3">
      <w:pPr>
        <w:rPr>
          <w:rFonts w:cs="Arial"/>
          <w:sz w:val="20"/>
        </w:rPr>
      </w:pPr>
      <w:r>
        <w:rPr>
          <w:rFonts w:cs="Arial"/>
          <w:sz w:val="20"/>
        </w:rPr>
        <w:t xml:space="preserve">Alla sistemazione di tali sospesi si è provveduto come indicato nel principio contabile 4/2. </w:t>
      </w:r>
    </w:p>
    <w:p w:rsidR="00C30A8E" w:rsidRDefault="00F84CB3">
      <w:pPr>
        <w:rPr>
          <w:sz w:val="20"/>
        </w:rPr>
      </w:pPr>
      <w:r>
        <w:rPr>
          <w:sz w:val="20"/>
        </w:rPr>
        <w:t>L’ente</w:t>
      </w:r>
      <w:r w:rsidR="0089550D">
        <w:rPr>
          <w:sz w:val="20"/>
        </w:rPr>
        <w:t xml:space="preserve"> non</w:t>
      </w:r>
      <w:r>
        <w:rPr>
          <w:sz w:val="20"/>
        </w:rPr>
        <w:t xml:space="preserve"> ha provveduto alla determinazione della cassa vinc</w:t>
      </w:r>
      <w:r w:rsidR="0089550D">
        <w:rPr>
          <w:sz w:val="20"/>
        </w:rPr>
        <w:t>olata alla data del 31/12/2016 in quanto non sussiste la fattispecie</w:t>
      </w:r>
      <w:r>
        <w:rPr>
          <w:sz w:val="20"/>
        </w:rPr>
        <w:t>.</w:t>
      </w:r>
    </w:p>
    <w:p w:rsidR="0001571D" w:rsidRDefault="0001571D" w:rsidP="0089550D">
      <w:pPr>
        <w:tabs>
          <w:tab w:val="left" w:pos="7260"/>
          <w:tab w:val="left" w:pos="7440"/>
          <w:tab w:val="right" w:pos="9071"/>
        </w:tabs>
        <w:rPr>
          <w:szCs w:val="22"/>
        </w:rPr>
      </w:pPr>
      <w:bookmarkStart w:id="6" w:name="_MON_1486893043"/>
      <w:bookmarkStart w:id="7" w:name="_MON_1456158071"/>
      <w:bookmarkEnd w:id="6"/>
      <w:bookmarkEnd w:id="7"/>
    </w:p>
    <w:p w:rsidR="0089550D" w:rsidRDefault="0089550D" w:rsidP="0089550D">
      <w:pPr>
        <w:tabs>
          <w:tab w:val="left" w:pos="7260"/>
          <w:tab w:val="left" w:pos="7440"/>
          <w:tab w:val="right" w:pos="9071"/>
        </w:tabs>
        <w:rPr>
          <w:szCs w:val="22"/>
        </w:rPr>
      </w:pPr>
      <w:r>
        <w:rPr>
          <w:szCs w:val="22"/>
        </w:rPr>
        <w:tab/>
      </w:r>
      <w:r>
        <w:rPr>
          <w:szCs w:val="22"/>
        </w:rPr>
        <w:tab/>
      </w:r>
      <w:r>
        <w:rPr>
          <w:szCs w:val="22"/>
        </w:rPr>
        <w:tab/>
      </w:r>
    </w:p>
    <w:p w:rsidR="00C30A8E" w:rsidRDefault="00F84CB3">
      <w:pPr>
        <w:pStyle w:val="Titolo3"/>
        <w:rPr>
          <w:color w:val="76923C" w:themeColor="accent3" w:themeShade="BF"/>
        </w:rPr>
      </w:pPr>
      <w:r>
        <w:rPr>
          <w:color w:val="76923C" w:themeColor="accent3" w:themeShade="BF"/>
        </w:rPr>
        <w:t>Risultato della gestione di competenza</w:t>
      </w:r>
    </w:p>
    <w:p w:rsidR="00C30A8E" w:rsidRDefault="00F84CB3">
      <w:pPr>
        <w:numPr>
          <w:ilvl w:val="12"/>
          <w:numId w:val="0"/>
        </w:numPr>
        <w:spacing w:before="120"/>
        <w:rPr>
          <w:rFonts w:cs="Arial"/>
          <w:sz w:val="20"/>
        </w:rPr>
      </w:pPr>
      <w:r>
        <w:rPr>
          <w:rFonts w:cs="Arial"/>
          <w:sz w:val="20"/>
        </w:rPr>
        <w:t xml:space="preserve">Il risultato della gestione di competenza presenta un </w:t>
      </w:r>
      <w:r w:rsidRPr="0074772E">
        <w:rPr>
          <w:rFonts w:cs="Arial"/>
          <w:sz w:val="20"/>
        </w:rPr>
        <w:t>avanzo</w:t>
      </w:r>
      <w:r w:rsidR="0076584B">
        <w:rPr>
          <w:rFonts w:cs="Arial"/>
          <w:sz w:val="20"/>
        </w:rPr>
        <w:t>, per l’anno 2016,</w:t>
      </w:r>
      <w:r w:rsidRPr="0074772E">
        <w:rPr>
          <w:rFonts w:cs="Arial"/>
          <w:sz w:val="20"/>
        </w:rPr>
        <w:t xml:space="preserve"> </w:t>
      </w:r>
      <w:r>
        <w:rPr>
          <w:rFonts w:cs="Arial"/>
          <w:sz w:val="20"/>
        </w:rPr>
        <w:t xml:space="preserve">di Euro </w:t>
      </w:r>
      <w:r w:rsidR="0076584B">
        <w:rPr>
          <w:rFonts w:cs="Arial"/>
          <w:sz w:val="20"/>
        </w:rPr>
        <w:t>163.835,49,</w:t>
      </w:r>
      <w:r>
        <w:rPr>
          <w:rFonts w:cs="Arial"/>
          <w:sz w:val="20"/>
        </w:rPr>
        <w:t xml:space="preserve"> come risulta dai seguenti elementi:</w:t>
      </w:r>
    </w:p>
    <w:bookmarkStart w:id="8" w:name="_MON_1550735595"/>
    <w:bookmarkEnd w:id="8"/>
    <w:p w:rsidR="00C30A8E" w:rsidRDefault="00460373">
      <w:pPr>
        <w:numPr>
          <w:ilvl w:val="12"/>
          <w:numId w:val="0"/>
        </w:numPr>
        <w:spacing w:before="120"/>
        <w:rPr>
          <w:rFonts w:cs="Arial"/>
          <w:sz w:val="20"/>
        </w:rPr>
      </w:pPr>
      <w:r>
        <w:rPr>
          <w:rFonts w:cs="Arial"/>
          <w:sz w:val="20"/>
        </w:rPr>
        <w:object w:dxaOrig="9207" w:dyaOrig="2638">
          <v:shape id="_x0000_i1026" type="#_x0000_t75" style="width:462.6pt;height:130.2pt" o:ole="">
            <v:imagedata r:id="rId10" o:title=""/>
          </v:shape>
          <o:OLEObject Type="Embed" ProgID="Excel.Sheet.12" ShapeID="_x0000_i1026" DrawAspect="Content" ObjectID="_1556368298" r:id="rId11"/>
        </w:object>
      </w:r>
    </w:p>
    <w:p w:rsidR="00C30A8E" w:rsidRDefault="00F84CB3">
      <w:pPr>
        <w:numPr>
          <w:ilvl w:val="12"/>
          <w:numId w:val="0"/>
        </w:numPr>
        <w:rPr>
          <w:rFonts w:cs="Arial"/>
          <w:sz w:val="20"/>
        </w:rPr>
      </w:pPr>
      <w:r>
        <w:rPr>
          <w:rFonts w:cs="Arial"/>
          <w:sz w:val="20"/>
        </w:rPr>
        <w:t>così dettagliati:</w:t>
      </w:r>
    </w:p>
    <w:p w:rsidR="00C30A8E" w:rsidRDefault="00C30A8E">
      <w:pPr>
        <w:numPr>
          <w:ilvl w:val="12"/>
          <w:numId w:val="0"/>
        </w:numPr>
        <w:rPr>
          <w:rFonts w:cs="Arial"/>
          <w:sz w:val="20"/>
        </w:rPr>
      </w:pPr>
    </w:p>
    <w:bookmarkStart w:id="9" w:name="_MON_1519639065"/>
    <w:bookmarkEnd w:id="9"/>
    <w:p w:rsidR="00C30A8E" w:rsidRPr="009E0675" w:rsidRDefault="002D223F" w:rsidP="009E0675">
      <w:pPr>
        <w:numPr>
          <w:ilvl w:val="12"/>
          <w:numId w:val="0"/>
        </w:numPr>
        <w:rPr>
          <w:rFonts w:cs="Arial"/>
          <w:sz w:val="20"/>
        </w:rPr>
      </w:pPr>
      <w:r>
        <w:rPr>
          <w:rFonts w:cs="Arial"/>
          <w:sz w:val="20"/>
        </w:rPr>
        <w:object w:dxaOrig="8917" w:dyaOrig="4383">
          <v:shape id="_x0000_i1027" type="#_x0000_t75" style="width:447.6pt;height:216.6pt" o:ole="">
            <v:imagedata r:id="rId12" o:title=""/>
          </v:shape>
          <o:OLEObject Type="Embed" ProgID="Excel.Sheet.12" ShapeID="_x0000_i1027" DrawAspect="Content" ObjectID="_1556368299" r:id="rId13"/>
        </w:object>
      </w:r>
    </w:p>
    <w:p w:rsidR="00C30A8E" w:rsidRDefault="00F84CB3">
      <w:pPr>
        <w:pStyle w:val="Corpodeltesto3"/>
        <w:spacing w:before="120"/>
        <w:jc w:val="left"/>
        <w:rPr>
          <w:rFonts w:cs="Arial"/>
          <w:b/>
        </w:rPr>
      </w:pPr>
      <w:r>
        <w:rPr>
          <w:rFonts w:cs="Arial"/>
          <w:b/>
        </w:rPr>
        <w:t>Risultato della gestione di competenza con applicazione avanzo e disavanzo</w:t>
      </w:r>
    </w:p>
    <w:bookmarkStart w:id="10" w:name="_MON_1549894364"/>
    <w:bookmarkEnd w:id="10"/>
    <w:p w:rsidR="0074772E" w:rsidRDefault="007E07EE">
      <w:pPr>
        <w:pStyle w:val="Corpodeltesto3"/>
        <w:spacing w:before="120"/>
        <w:jc w:val="left"/>
        <w:rPr>
          <w:rFonts w:cs="Arial"/>
          <w:b/>
        </w:rPr>
      </w:pPr>
      <w:r w:rsidRPr="007E07EE">
        <w:rPr>
          <w:rFonts w:cs="Arial"/>
          <w:b/>
        </w:rPr>
        <w:object w:dxaOrig="6177" w:dyaOrig="1179">
          <v:shape id="_x0000_i1028" type="#_x0000_t75" style="width:309.6pt;height:57.6pt" o:ole="">
            <v:imagedata r:id="rId14" o:title=""/>
          </v:shape>
          <o:OLEObject Type="Embed" ProgID="Excel.Sheet.12" ShapeID="_x0000_i1028" DrawAspect="Content" ObjectID="_1556368300" r:id="rId15"/>
        </w:object>
      </w:r>
    </w:p>
    <w:p w:rsidR="009E0675" w:rsidRDefault="009E0675">
      <w:pPr>
        <w:pStyle w:val="Corpodeltesto3"/>
        <w:spacing w:before="120"/>
        <w:jc w:val="left"/>
        <w:rPr>
          <w:rFonts w:cs="Arial"/>
          <w:b/>
        </w:rPr>
      </w:pPr>
    </w:p>
    <w:p w:rsidR="00C30A8E" w:rsidRPr="00691497" w:rsidRDefault="0074772E" w:rsidP="00691497">
      <w:pPr>
        <w:widowControl/>
        <w:overflowPunct/>
        <w:autoSpaceDE/>
        <w:autoSpaceDN/>
        <w:adjustRightInd/>
        <w:spacing w:after="0"/>
        <w:jc w:val="left"/>
        <w:textAlignment w:val="auto"/>
        <w:rPr>
          <w:rFonts w:cs="Arial"/>
        </w:rPr>
      </w:pPr>
      <w:r>
        <w:rPr>
          <w:rFonts w:cs="Arial"/>
        </w:rPr>
        <w:t>La suddivisione tra gestione corrente ed in c/capitale del risultato di gestione di competenza 2016, integrata con la quota di avanzo dell’esercizio precedente applicata al bilancio, è la seguente:</w:t>
      </w:r>
      <w:bookmarkStart w:id="11" w:name="_MON_1553522205"/>
      <w:bookmarkEnd w:id="11"/>
      <w:r w:rsidR="007E07EE">
        <w:rPr>
          <w:rFonts w:cs="Arial"/>
        </w:rPr>
        <w:object w:dxaOrig="10276" w:dyaOrig="15101">
          <v:shape id="_x0000_i1029" type="#_x0000_t75" style="width:496.2pt;height:727.2pt" o:ole="">
            <v:imagedata r:id="rId16" o:title=""/>
          </v:shape>
          <o:OLEObject Type="Embed" ProgID="Excel.Sheet.12" ShapeID="_x0000_i1029" DrawAspect="Content" ObjectID="_1556368301" r:id="rId17"/>
        </w:object>
      </w:r>
      <w:r w:rsidR="00F84CB3">
        <w:rPr>
          <w:rFonts w:cs="Arial"/>
          <w:b/>
          <w:szCs w:val="22"/>
          <w:u w:val="single"/>
        </w:rPr>
        <w:t>Evoluzione del Fondo pluriennale vincolato (FPV) nel corso dell’esercizio 2016</w:t>
      </w:r>
    </w:p>
    <w:p w:rsidR="00C30A8E" w:rsidRDefault="00C30A8E">
      <w:pPr>
        <w:rPr>
          <w:rFonts w:cs="Arial"/>
          <w:b/>
          <w:bCs/>
          <w:color w:val="000000"/>
        </w:rPr>
      </w:pPr>
    </w:p>
    <w:p w:rsidR="00C30A8E" w:rsidRDefault="00F84CB3">
      <w:pPr>
        <w:rPr>
          <w:rFonts w:cs="Arial"/>
          <w:color w:val="000000"/>
          <w:szCs w:val="22"/>
        </w:rPr>
      </w:pPr>
      <w:r>
        <w:rPr>
          <w:rFonts w:cs="Arial"/>
          <w:color w:val="000000"/>
          <w:szCs w:val="22"/>
        </w:rPr>
        <w:t>Il Fondo pluriennale vincolato nasce dall’applicazione del principio della competenza finanziaria di cui all’</w:t>
      </w:r>
      <w:hyperlink r:id="rId18" w:history="1">
        <w:r>
          <w:rPr>
            <w:rStyle w:val="Collegamentoipertestuale"/>
            <w:rFonts w:cs="Arial"/>
            <w:szCs w:val="22"/>
          </w:rPr>
          <w:t>allegato 4/2</w:t>
        </w:r>
      </w:hyperlink>
      <w:r>
        <w:rPr>
          <w:rFonts w:cs="Arial"/>
          <w:color w:val="000000"/>
          <w:szCs w:val="22"/>
        </w:rPr>
        <w:t xml:space="preserve"> al </w:t>
      </w:r>
      <w:hyperlink r:id="rId19" w:history="1">
        <w:r>
          <w:rPr>
            <w:rStyle w:val="Collegamentoipertestuale"/>
            <w:rFonts w:cs="Arial"/>
            <w:szCs w:val="22"/>
          </w:rPr>
          <w:t>D.Lgs.118/2011</w:t>
        </w:r>
      </w:hyperlink>
      <w:r>
        <w:rPr>
          <w:rFonts w:cs="Arial"/>
          <w:color w:val="000000"/>
          <w:szCs w:val="22"/>
        </w:rPr>
        <w:t xml:space="preserve"> per rendere evidente al Consiglio Comunale la distanza temporale intercorrente tra l’acquisizione dei finanziamenti e l’effettivo impiego di tali risorse.</w:t>
      </w:r>
    </w:p>
    <w:p w:rsidR="00C30A8E" w:rsidRDefault="00F84CB3">
      <w:pPr>
        <w:rPr>
          <w:rFonts w:cs="Arial"/>
          <w:color w:val="000000"/>
          <w:szCs w:val="22"/>
        </w:rPr>
      </w:pPr>
      <w:r>
        <w:rPr>
          <w:rFonts w:cs="Arial"/>
          <w:color w:val="000000"/>
          <w:szCs w:val="22"/>
        </w:rPr>
        <w:t>L’organo di revisione ha verificato con la tecnica del campionamento:</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la fonte di finanziamento del FPV di parte corrente e di parte capitale;</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la sussistenza dell’accertamento di entrata relativo a obbligazioni attive scadute ed esigibili che contribuiscono alla formazione del FPV;</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la costituzione del FPV in presenza di obbligazioni giuridiche passive perfezionate;</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la corretta applicazione dell’</w:t>
      </w:r>
      <w:hyperlink r:id="rId20" w:history="1">
        <w:r>
          <w:rPr>
            <w:rStyle w:val="Collegamentoipertestuale"/>
            <w:rFonts w:cs="Arial"/>
            <w:szCs w:val="22"/>
          </w:rPr>
          <w:t>art.183, comma 3 del TUEL</w:t>
        </w:r>
      </w:hyperlink>
      <w:r>
        <w:rPr>
          <w:rFonts w:cs="Arial"/>
          <w:color w:val="000000"/>
          <w:szCs w:val="22"/>
        </w:rPr>
        <w:t xml:space="preserve"> in ordine al FPV riferito ai lavori pubblici;</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la formulazione di adeguati cronoprogrammi di spesa in ordine alla reimputazione di residui passivi coperti dal FPV;</w:t>
      </w:r>
    </w:p>
    <w:p w:rsidR="00C30A8E" w:rsidRDefault="00F84CB3">
      <w:pPr>
        <w:pStyle w:val="Paragrafoelenco"/>
        <w:widowControl/>
        <w:numPr>
          <w:ilvl w:val="0"/>
          <w:numId w:val="27"/>
        </w:numPr>
        <w:overflowPunct/>
        <w:spacing w:after="0"/>
        <w:textAlignment w:val="auto"/>
        <w:rPr>
          <w:rFonts w:cs="Arial"/>
          <w:color w:val="000000"/>
          <w:szCs w:val="22"/>
        </w:rPr>
      </w:pPr>
      <w:r>
        <w:rPr>
          <w:rFonts w:cs="Arial"/>
          <w:color w:val="000000"/>
          <w:szCs w:val="22"/>
        </w:rPr>
        <w:t>l’esigibilità dei residui passivi coperti da FPV negli esercizi 2017-2018-2019 di riferimento.</w:t>
      </w:r>
    </w:p>
    <w:p w:rsidR="00C300EE" w:rsidRDefault="00C300EE">
      <w:pPr>
        <w:pStyle w:val="Corpodeltesto3"/>
        <w:spacing w:after="240"/>
        <w:rPr>
          <w:rFonts w:cs="Arial"/>
          <w:sz w:val="22"/>
          <w:szCs w:val="22"/>
        </w:rPr>
      </w:pPr>
    </w:p>
    <w:p w:rsidR="00107D28" w:rsidRDefault="00107D28">
      <w:pPr>
        <w:pStyle w:val="Corpodeltesto3"/>
        <w:spacing w:after="240"/>
        <w:rPr>
          <w:rFonts w:cs="Arial"/>
          <w:sz w:val="22"/>
          <w:szCs w:val="22"/>
        </w:rPr>
      </w:pPr>
    </w:p>
    <w:p w:rsidR="00C30A8E" w:rsidRDefault="00F84CB3">
      <w:pPr>
        <w:pStyle w:val="Corpodeltesto3"/>
        <w:spacing w:after="240"/>
        <w:rPr>
          <w:rFonts w:cs="Arial"/>
          <w:sz w:val="22"/>
          <w:szCs w:val="22"/>
        </w:rPr>
      </w:pPr>
      <w:r>
        <w:rPr>
          <w:rFonts w:cs="Arial"/>
          <w:sz w:val="22"/>
          <w:szCs w:val="22"/>
        </w:rPr>
        <w:t>La composizione del FPV finale 31/12/2016 è la seguente:</w:t>
      </w:r>
    </w:p>
    <w:tbl>
      <w:tblPr>
        <w:tblStyle w:val="Grigliatabella"/>
        <w:tblW w:w="0" w:type="auto"/>
        <w:tblLook w:val="04A0" w:firstRow="1" w:lastRow="0" w:firstColumn="1" w:lastColumn="0" w:noHBand="0" w:noVBand="1"/>
      </w:tblPr>
      <w:tblGrid>
        <w:gridCol w:w="3020"/>
        <w:gridCol w:w="3020"/>
        <w:gridCol w:w="3021"/>
      </w:tblGrid>
      <w:tr w:rsidR="00C30A8E">
        <w:tc>
          <w:tcPr>
            <w:tcW w:w="3020" w:type="dxa"/>
          </w:tcPr>
          <w:p w:rsidR="00C30A8E" w:rsidRDefault="00F84CB3">
            <w:pPr>
              <w:pStyle w:val="Corpodeltesto3"/>
              <w:spacing w:after="240"/>
              <w:rPr>
                <w:rFonts w:cs="Arial"/>
                <w:sz w:val="22"/>
                <w:szCs w:val="22"/>
              </w:rPr>
            </w:pPr>
            <w:r>
              <w:rPr>
                <w:rFonts w:cs="Arial"/>
                <w:sz w:val="22"/>
                <w:szCs w:val="22"/>
              </w:rPr>
              <w:t>FPV</w:t>
            </w:r>
          </w:p>
        </w:tc>
        <w:tc>
          <w:tcPr>
            <w:tcW w:w="3020" w:type="dxa"/>
          </w:tcPr>
          <w:p w:rsidR="00C30A8E" w:rsidRDefault="00F84CB3">
            <w:pPr>
              <w:pStyle w:val="Corpodeltesto3"/>
              <w:spacing w:after="240"/>
              <w:jc w:val="center"/>
              <w:rPr>
                <w:rFonts w:cs="Arial"/>
                <w:sz w:val="22"/>
                <w:szCs w:val="22"/>
              </w:rPr>
            </w:pPr>
            <w:r>
              <w:rPr>
                <w:rFonts w:cs="Arial"/>
                <w:sz w:val="22"/>
                <w:szCs w:val="22"/>
              </w:rPr>
              <w:t>01/01/2016</w:t>
            </w:r>
          </w:p>
        </w:tc>
        <w:tc>
          <w:tcPr>
            <w:tcW w:w="3021" w:type="dxa"/>
          </w:tcPr>
          <w:p w:rsidR="00C30A8E" w:rsidRDefault="00F84CB3">
            <w:pPr>
              <w:pStyle w:val="Corpodeltesto3"/>
              <w:spacing w:after="240"/>
              <w:jc w:val="center"/>
              <w:rPr>
                <w:rFonts w:cs="Arial"/>
                <w:sz w:val="22"/>
                <w:szCs w:val="22"/>
              </w:rPr>
            </w:pPr>
            <w:r>
              <w:rPr>
                <w:rFonts w:cs="Arial"/>
                <w:sz w:val="22"/>
                <w:szCs w:val="22"/>
              </w:rPr>
              <w:t>31/12/2016</w:t>
            </w:r>
          </w:p>
        </w:tc>
      </w:tr>
      <w:tr w:rsidR="00C30A8E">
        <w:tc>
          <w:tcPr>
            <w:tcW w:w="3020" w:type="dxa"/>
          </w:tcPr>
          <w:p w:rsidR="00C30A8E" w:rsidRDefault="00F84CB3">
            <w:pPr>
              <w:pStyle w:val="Corpodeltesto3"/>
              <w:spacing w:after="240"/>
              <w:rPr>
                <w:rFonts w:cs="Arial"/>
                <w:sz w:val="22"/>
                <w:szCs w:val="22"/>
              </w:rPr>
            </w:pPr>
            <w:r>
              <w:rPr>
                <w:rFonts w:cs="Arial"/>
                <w:sz w:val="22"/>
                <w:szCs w:val="22"/>
              </w:rPr>
              <w:t>FPV di parte corrente</w:t>
            </w:r>
          </w:p>
        </w:tc>
        <w:tc>
          <w:tcPr>
            <w:tcW w:w="3020" w:type="dxa"/>
          </w:tcPr>
          <w:p w:rsidR="00C30A8E" w:rsidRPr="006C39D5" w:rsidRDefault="0076584B">
            <w:pPr>
              <w:pStyle w:val="Corpodeltesto3"/>
              <w:spacing w:after="240"/>
              <w:rPr>
                <w:rFonts w:cs="Arial"/>
                <w:sz w:val="22"/>
                <w:szCs w:val="22"/>
                <w:highlight w:val="yellow"/>
              </w:rPr>
            </w:pPr>
            <w:r w:rsidRPr="0076584B">
              <w:rPr>
                <w:rFonts w:cs="Arial"/>
                <w:sz w:val="22"/>
                <w:szCs w:val="22"/>
              </w:rPr>
              <w:t>25.475,89</w:t>
            </w:r>
          </w:p>
        </w:tc>
        <w:tc>
          <w:tcPr>
            <w:tcW w:w="3021" w:type="dxa"/>
          </w:tcPr>
          <w:p w:rsidR="00C30A8E" w:rsidRPr="006C39D5" w:rsidRDefault="006C39D5">
            <w:pPr>
              <w:pStyle w:val="Corpodeltesto3"/>
              <w:spacing w:after="240"/>
              <w:rPr>
                <w:rFonts w:cs="Arial"/>
                <w:sz w:val="22"/>
                <w:szCs w:val="22"/>
                <w:highlight w:val="yellow"/>
              </w:rPr>
            </w:pPr>
            <w:r w:rsidRPr="006C39D5">
              <w:rPr>
                <w:rFonts w:cs="Arial"/>
                <w:sz w:val="22"/>
                <w:szCs w:val="22"/>
              </w:rPr>
              <w:t>11.992,40</w:t>
            </w:r>
          </w:p>
        </w:tc>
      </w:tr>
      <w:tr w:rsidR="00C30A8E">
        <w:tc>
          <w:tcPr>
            <w:tcW w:w="3020" w:type="dxa"/>
          </w:tcPr>
          <w:p w:rsidR="00C30A8E" w:rsidRDefault="00F84CB3">
            <w:pPr>
              <w:pStyle w:val="Corpodeltesto3"/>
              <w:spacing w:after="240"/>
              <w:rPr>
                <w:rFonts w:cs="Arial"/>
                <w:sz w:val="22"/>
                <w:szCs w:val="22"/>
              </w:rPr>
            </w:pPr>
            <w:r>
              <w:rPr>
                <w:rFonts w:cs="Arial"/>
                <w:sz w:val="22"/>
                <w:szCs w:val="22"/>
              </w:rPr>
              <w:t>FPV di parte capitale</w:t>
            </w:r>
          </w:p>
        </w:tc>
        <w:tc>
          <w:tcPr>
            <w:tcW w:w="3020" w:type="dxa"/>
          </w:tcPr>
          <w:p w:rsidR="00C30A8E" w:rsidRDefault="0076584B">
            <w:pPr>
              <w:pStyle w:val="Corpodeltesto3"/>
              <w:spacing w:after="240"/>
              <w:rPr>
                <w:rFonts w:cs="Arial"/>
                <w:sz w:val="22"/>
                <w:szCs w:val="22"/>
              </w:rPr>
            </w:pPr>
            <w:r>
              <w:rPr>
                <w:rFonts w:cs="Arial"/>
                <w:sz w:val="22"/>
                <w:szCs w:val="22"/>
              </w:rPr>
              <w:t>247.777,21</w:t>
            </w:r>
          </w:p>
        </w:tc>
        <w:tc>
          <w:tcPr>
            <w:tcW w:w="3021" w:type="dxa"/>
          </w:tcPr>
          <w:p w:rsidR="00C30A8E" w:rsidRDefault="0076584B">
            <w:pPr>
              <w:pStyle w:val="Corpodeltesto3"/>
              <w:spacing w:after="240"/>
              <w:rPr>
                <w:rFonts w:cs="Arial"/>
                <w:sz w:val="22"/>
                <w:szCs w:val="22"/>
              </w:rPr>
            </w:pPr>
            <w:r>
              <w:rPr>
                <w:rFonts w:cs="Arial"/>
                <w:sz w:val="22"/>
                <w:szCs w:val="22"/>
              </w:rPr>
              <w:t>60.218,63</w:t>
            </w:r>
          </w:p>
        </w:tc>
      </w:tr>
    </w:tbl>
    <w:p w:rsidR="00C30A8E" w:rsidRDefault="00C30A8E" w:rsidP="0076584B">
      <w:pPr>
        <w:pStyle w:val="Corpodeltesto3"/>
        <w:spacing w:after="240"/>
        <w:rPr>
          <w:rFonts w:cs="Arial"/>
          <w:sz w:val="22"/>
          <w:szCs w:val="22"/>
        </w:rPr>
      </w:pPr>
    </w:p>
    <w:p w:rsidR="00C30A8E" w:rsidRDefault="00F84CB3">
      <w:pPr>
        <w:rPr>
          <w:rFonts w:cs="Arial"/>
          <w:szCs w:val="22"/>
        </w:rPr>
      </w:pPr>
      <w:r>
        <w:rPr>
          <w:rFonts w:cs="Arial"/>
          <w:color w:val="000000"/>
          <w:szCs w:val="22"/>
        </w:rPr>
        <w:t>L’organo di revisione ha verificato con la tecnica del campionamento che i</w:t>
      </w:r>
      <w:r>
        <w:rPr>
          <w:rFonts w:cs="Arial"/>
          <w:szCs w:val="22"/>
        </w:rPr>
        <w:t>l FPV in spesa c/capitale è stato attivato in presenza di entrambe le seguenti condizioni:</w:t>
      </w:r>
    </w:p>
    <w:p w:rsidR="00C30A8E" w:rsidRDefault="00F84CB3">
      <w:pPr>
        <w:pStyle w:val="Corpodeltesto3"/>
        <w:numPr>
          <w:ilvl w:val="0"/>
          <w:numId w:val="28"/>
        </w:numPr>
        <w:spacing w:after="240"/>
        <w:ind w:left="284"/>
        <w:rPr>
          <w:rFonts w:cs="Arial"/>
          <w:sz w:val="22"/>
          <w:szCs w:val="22"/>
        </w:rPr>
      </w:pPr>
      <w:r>
        <w:rPr>
          <w:rFonts w:cs="Arial"/>
          <w:sz w:val="22"/>
          <w:szCs w:val="22"/>
        </w:rPr>
        <w:t>l’entrata che finanzia il fondo è accertata</w:t>
      </w:r>
    </w:p>
    <w:p w:rsidR="00C30A8E" w:rsidRDefault="00F84CB3">
      <w:pPr>
        <w:pStyle w:val="Corpodeltesto3"/>
        <w:numPr>
          <w:ilvl w:val="0"/>
          <w:numId w:val="28"/>
        </w:numPr>
        <w:spacing w:after="240"/>
        <w:ind w:left="284"/>
        <w:rPr>
          <w:rFonts w:cs="Arial"/>
          <w:sz w:val="22"/>
          <w:szCs w:val="22"/>
        </w:rPr>
      </w:pPr>
      <w:r>
        <w:rPr>
          <w:rFonts w:cs="Arial"/>
          <w:sz w:val="22"/>
          <w:szCs w:val="22"/>
        </w:rPr>
        <w:t>la spesa rientra nelle ipotesi di cui al punto 5.4 del principio applicato alla competenza finanziaria potenziata</w:t>
      </w:r>
      <w:r w:rsidR="00107D28">
        <w:rPr>
          <w:rFonts w:cs="Arial"/>
          <w:sz w:val="22"/>
          <w:szCs w:val="22"/>
        </w:rPr>
        <w:t>.</w:t>
      </w:r>
    </w:p>
    <w:p w:rsidR="00107D28" w:rsidRDefault="00107D28" w:rsidP="00107D28">
      <w:pPr>
        <w:pStyle w:val="Corpodeltesto3"/>
        <w:spacing w:after="240"/>
        <w:rPr>
          <w:rFonts w:cs="Arial"/>
          <w:sz w:val="22"/>
          <w:szCs w:val="22"/>
        </w:rPr>
      </w:pPr>
    </w:p>
    <w:p w:rsidR="0074772E" w:rsidRDefault="0074772E" w:rsidP="0074772E">
      <w:pPr>
        <w:pStyle w:val="Corpodeltesto3"/>
        <w:spacing w:after="240"/>
        <w:rPr>
          <w:rFonts w:cs="Arial"/>
          <w:sz w:val="22"/>
          <w:szCs w:val="22"/>
          <w:u w:val="single"/>
        </w:rPr>
      </w:pPr>
      <w:r>
        <w:rPr>
          <w:rFonts w:cs="Arial"/>
          <w:sz w:val="22"/>
          <w:szCs w:val="22"/>
          <w:u w:val="single"/>
        </w:rPr>
        <w:t>Entrate a destinazione specifica o vincolata</w:t>
      </w:r>
    </w:p>
    <w:p w:rsidR="0074772E" w:rsidRDefault="0074772E" w:rsidP="0074772E">
      <w:pPr>
        <w:spacing w:before="120"/>
        <w:rPr>
          <w:rFonts w:cs="Arial"/>
          <w:szCs w:val="22"/>
        </w:rPr>
      </w:pPr>
      <w:r w:rsidRPr="00C81DFF">
        <w:rPr>
          <w:rFonts w:cs="Arial"/>
          <w:szCs w:val="22"/>
        </w:rPr>
        <w:t xml:space="preserve">Nel bilancio non </w:t>
      </w:r>
      <w:r>
        <w:rPr>
          <w:rFonts w:cs="Arial"/>
          <w:szCs w:val="22"/>
        </w:rPr>
        <w:t>sono previste le entrate a destinazione specifica o vincolata.</w:t>
      </w:r>
    </w:p>
    <w:p w:rsidR="00C4607E" w:rsidRDefault="00C4607E" w:rsidP="0074772E">
      <w:pPr>
        <w:spacing w:before="120"/>
        <w:rPr>
          <w:rFonts w:cs="Arial"/>
          <w:szCs w:val="22"/>
          <w:u w:val="single"/>
        </w:rPr>
      </w:pPr>
    </w:p>
    <w:p w:rsidR="00C30A8E" w:rsidRDefault="00F84CB3">
      <w:pPr>
        <w:pStyle w:val="Corpodeltesto3"/>
        <w:spacing w:after="240"/>
        <w:rPr>
          <w:rFonts w:cs="Arial"/>
          <w:sz w:val="22"/>
          <w:szCs w:val="22"/>
          <w:u w:val="single"/>
        </w:rPr>
      </w:pPr>
      <w:bookmarkStart w:id="12" w:name="OLE_LINK11"/>
      <w:r>
        <w:rPr>
          <w:rFonts w:cs="Arial"/>
          <w:sz w:val="22"/>
          <w:szCs w:val="22"/>
          <w:u w:val="single"/>
        </w:rPr>
        <w:t>Entrate e spese non ripetitive</w:t>
      </w:r>
    </w:p>
    <w:p w:rsidR="0074772E" w:rsidRPr="00C81DFF" w:rsidRDefault="0074772E" w:rsidP="0074772E">
      <w:pPr>
        <w:spacing w:before="120"/>
        <w:rPr>
          <w:rFonts w:cs="Arial"/>
          <w:szCs w:val="22"/>
        </w:rPr>
      </w:pPr>
      <w:bookmarkStart w:id="13" w:name="OLE_LINK9"/>
      <w:bookmarkStart w:id="14" w:name="OLE_LINK10"/>
      <w:bookmarkEnd w:id="12"/>
      <w:r w:rsidRPr="00C81DFF">
        <w:rPr>
          <w:rFonts w:cs="Arial"/>
          <w:szCs w:val="22"/>
        </w:rPr>
        <w:t xml:space="preserve">Nel bilancio non sono previste nei primi tre titoli dell’entrata e nel titolo I della spesa, entrate/spese non ricorrenti. </w:t>
      </w:r>
    </w:p>
    <w:bookmarkEnd w:id="13"/>
    <w:bookmarkEnd w:id="14"/>
    <w:p w:rsidR="00C4607E" w:rsidRDefault="00C4607E">
      <w:pPr>
        <w:numPr>
          <w:ilvl w:val="12"/>
          <w:numId w:val="0"/>
        </w:numPr>
        <w:jc w:val="left"/>
        <w:rPr>
          <w:rFonts w:cs="Arial"/>
          <w:i/>
          <w:color w:val="548DD4" w:themeColor="text2" w:themeTint="99"/>
          <w:sz w:val="20"/>
        </w:rPr>
      </w:pPr>
    </w:p>
    <w:p w:rsidR="009E0675" w:rsidRDefault="009E0675">
      <w:pPr>
        <w:numPr>
          <w:ilvl w:val="12"/>
          <w:numId w:val="0"/>
        </w:numPr>
        <w:jc w:val="left"/>
        <w:rPr>
          <w:rFonts w:cs="Arial"/>
          <w:i/>
          <w:color w:val="548DD4" w:themeColor="text2" w:themeTint="99"/>
          <w:sz w:val="20"/>
        </w:rPr>
      </w:pPr>
    </w:p>
    <w:p w:rsidR="009E0675" w:rsidRDefault="009E0675">
      <w:pPr>
        <w:numPr>
          <w:ilvl w:val="12"/>
          <w:numId w:val="0"/>
        </w:numPr>
        <w:jc w:val="left"/>
        <w:rPr>
          <w:rFonts w:cs="Arial"/>
          <w:i/>
          <w:color w:val="548DD4" w:themeColor="text2" w:themeTint="99"/>
          <w:sz w:val="20"/>
        </w:rPr>
      </w:pPr>
    </w:p>
    <w:p w:rsidR="009E0675" w:rsidRDefault="009E0675">
      <w:pPr>
        <w:numPr>
          <w:ilvl w:val="12"/>
          <w:numId w:val="0"/>
        </w:numPr>
        <w:jc w:val="left"/>
        <w:rPr>
          <w:rFonts w:cs="Arial"/>
          <w:i/>
          <w:color w:val="548DD4" w:themeColor="text2" w:themeTint="99"/>
          <w:sz w:val="20"/>
        </w:rPr>
      </w:pPr>
    </w:p>
    <w:p w:rsidR="00C30A8E" w:rsidRDefault="00F84CB3">
      <w:pPr>
        <w:pStyle w:val="Titolo3"/>
        <w:rPr>
          <w:color w:val="76923C" w:themeColor="accent3" w:themeShade="BF"/>
        </w:rPr>
      </w:pPr>
      <w:r>
        <w:rPr>
          <w:color w:val="76923C" w:themeColor="accent3" w:themeShade="BF"/>
        </w:rPr>
        <w:t>Risultato di amministrazione</w:t>
      </w:r>
    </w:p>
    <w:p w:rsidR="00C30A8E" w:rsidRDefault="00F84CB3">
      <w:pPr>
        <w:spacing w:before="120"/>
        <w:rPr>
          <w:rFonts w:cs="Arial"/>
          <w:bCs/>
          <w:sz w:val="20"/>
        </w:rPr>
      </w:pPr>
      <w:r>
        <w:rPr>
          <w:rFonts w:cs="Arial"/>
          <w:bCs/>
          <w:sz w:val="20"/>
        </w:rPr>
        <w:t xml:space="preserve">Il risultato di amministrazione dell’esercizio 2016, presenta un </w:t>
      </w:r>
      <w:r w:rsidRPr="0074772E">
        <w:rPr>
          <w:rFonts w:cs="Arial"/>
          <w:bCs/>
          <w:sz w:val="20"/>
        </w:rPr>
        <w:t xml:space="preserve">avanzo </w:t>
      </w:r>
      <w:r>
        <w:rPr>
          <w:rFonts w:cs="Arial"/>
          <w:bCs/>
          <w:sz w:val="20"/>
        </w:rPr>
        <w:t xml:space="preserve">di Euro </w:t>
      </w:r>
      <w:r w:rsidR="00C300EE">
        <w:rPr>
          <w:rFonts w:cs="Arial"/>
          <w:bCs/>
          <w:sz w:val="20"/>
        </w:rPr>
        <w:t>5</w:t>
      </w:r>
      <w:r w:rsidR="007E07EE">
        <w:rPr>
          <w:rFonts w:cs="Arial"/>
          <w:bCs/>
          <w:sz w:val="20"/>
        </w:rPr>
        <w:t>86</w:t>
      </w:r>
      <w:r w:rsidR="00C300EE">
        <w:rPr>
          <w:rFonts w:cs="Arial"/>
          <w:bCs/>
          <w:sz w:val="20"/>
        </w:rPr>
        <w:t>.</w:t>
      </w:r>
      <w:r w:rsidR="007E07EE">
        <w:rPr>
          <w:rFonts w:cs="Arial"/>
          <w:bCs/>
          <w:sz w:val="20"/>
        </w:rPr>
        <w:t>709,11</w:t>
      </w:r>
      <w:r w:rsidRPr="00C300EE">
        <w:rPr>
          <w:rFonts w:cs="Arial"/>
          <w:bCs/>
          <w:sz w:val="20"/>
        </w:rPr>
        <w:t>, come</w:t>
      </w:r>
      <w:r>
        <w:rPr>
          <w:rFonts w:cs="Arial"/>
          <w:bCs/>
          <w:sz w:val="20"/>
        </w:rPr>
        <w:t xml:space="preserve"> risulta dai seguenti elementi:</w:t>
      </w:r>
    </w:p>
    <w:p w:rsidR="00C30A8E" w:rsidRDefault="00C30A8E">
      <w:pPr>
        <w:spacing w:before="120"/>
        <w:rPr>
          <w:rFonts w:cs="Arial"/>
          <w:bCs/>
          <w:sz w:val="20"/>
        </w:rPr>
      </w:pPr>
    </w:p>
    <w:bookmarkStart w:id="15" w:name="_MON_1519222246"/>
    <w:bookmarkEnd w:id="15"/>
    <w:p w:rsidR="00C30A8E" w:rsidRDefault="002D223F">
      <w:pPr>
        <w:spacing w:before="120"/>
        <w:rPr>
          <w:rFonts w:cs="Arial"/>
          <w:bCs/>
          <w:sz w:val="20"/>
        </w:rPr>
      </w:pPr>
      <w:r>
        <w:rPr>
          <w:rFonts w:cs="Arial"/>
          <w:bCs/>
          <w:sz w:val="20"/>
        </w:rPr>
        <w:object w:dxaOrig="9629" w:dyaOrig="5456">
          <v:shape id="_x0000_i1030" type="#_x0000_t75" style="width:483.6pt;height:274.2pt" o:ole="">
            <v:imagedata r:id="rId21" o:title=""/>
          </v:shape>
          <o:OLEObject Type="Embed" ProgID="Excel.Sheet.12" ShapeID="_x0000_i1030" DrawAspect="Content" ObjectID="_1556368302" r:id="rId22"/>
        </w:object>
      </w:r>
    </w:p>
    <w:p w:rsidR="00C30A8E" w:rsidRDefault="00F84CB3">
      <w:pPr>
        <w:rPr>
          <w:rFonts w:cs="Arial"/>
          <w:bCs/>
          <w:sz w:val="20"/>
        </w:rPr>
      </w:pPr>
      <w:r>
        <w:rPr>
          <w:rFonts w:cs="Arial"/>
          <w:bCs/>
          <w:sz w:val="20"/>
        </w:rPr>
        <w:t>Il risultato di amministrazione nell’ultimo triennio ha avuto la seguente evoluzione:</w:t>
      </w:r>
    </w:p>
    <w:bookmarkStart w:id="16" w:name="_MON_1486993466"/>
    <w:bookmarkEnd w:id="16"/>
    <w:p w:rsidR="00D54859" w:rsidRDefault="00460373" w:rsidP="009E0675">
      <w:pPr>
        <w:rPr>
          <w:rFonts w:cs="Arial"/>
          <w:bCs/>
          <w:sz w:val="20"/>
        </w:rPr>
      </w:pPr>
      <w:r>
        <w:rPr>
          <w:rFonts w:cs="Arial"/>
          <w:bCs/>
          <w:sz w:val="20"/>
        </w:rPr>
        <w:object w:dxaOrig="9145" w:dyaOrig="2929">
          <v:shape id="_x0000_i1031" type="#_x0000_t75" style="width:461.4pt;height:2in" o:ole="">
            <v:imagedata r:id="rId23" o:title=""/>
          </v:shape>
          <o:OLEObject Type="Embed" ProgID="Excel.Sheet.12" ShapeID="_x0000_i1031" DrawAspect="Content" ObjectID="_1556368303" r:id="rId24"/>
        </w:object>
      </w: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Cs/>
          <w:sz w:val="20"/>
        </w:rPr>
      </w:pPr>
    </w:p>
    <w:p w:rsidR="009E0675" w:rsidRDefault="009E0675" w:rsidP="009E0675">
      <w:pPr>
        <w:rPr>
          <w:rFonts w:cs="Arial"/>
          <w:b/>
          <w:sz w:val="20"/>
        </w:rPr>
      </w:pPr>
    </w:p>
    <w:p w:rsidR="009E0675" w:rsidRDefault="009E0675" w:rsidP="009E0675">
      <w:pPr>
        <w:numPr>
          <w:ilvl w:val="12"/>
          <w:numId w:val="0"/>
        </w:numPr>
        <w:rPr>
          <w:rFonts w:cs="Arial"/>
          <w:sz w:val="20"/>
        </w:rPr>
      </w:pPr>
      <w:r>
        <w:rPr>
          <w:rFonts w:cs="Arial"/>
          <w:sz w:val="20"/>
        </w:rPr>
        <w:t xml:space="preserve">La parte </w:t>
      </w:r>
      <w:r>
        <w:rPr>
          <w:rFonts w:cs="Arial"/>
          <w:b/>
          <w:sz w:val="20"/>
        </w:rPr>
        <w:t>accantonata</w:t>
      </w:r>
      <w:r>
        <w:rPr>
          <w:rFonts w:cs="Arial"/>
          <w:sz w:val="20"/>
        </w:rPr>
        <w:t xml:space="preserve"> al 31/12/2016 è così distinta:</w:t>
      </w:r>
    </w:p>
    <w:p w:rsidR="009E0675" w:rsidRDefault="009E0675" w:rsidP="009E0675">
      <w:pPr>
        <w:numPr>
          <w:ilvl w:val="12"/>
          <w:numId w:val="0"/>
        </w:numPr>
        <w:rPr>
          <w:rFonts w:cs="Arial"/>
          <w:sz w:val="20"/>
        </w:rPr>
      </w:pPr>
      <w:r>
        <w:rPr>
          <w:rFonts w:cs="Arial"/>
          <w:sz w:val="20"/>
        </w:rPr>
        <w:object w:dxaOrig="6854" w:dyaOrig="3116">
          <v:shape id="_x0000_i1032" type="#_x0000_t75" style="width:345.6pt;height:158.4pt" o:ole="">
            <v:imagedata r:id="rId25" o:title=""/>
          </v:shape>
          <o:OLEObject Type="Embed" ProgID="Excel.Sheet.12" ShapeID="_x0000_i1032" DrawAspect="Content" ObjectID="_1556368304" r:id="rId26"/>
        </w:object>
      </w:r>
    </w:p>
    <w:p w:rsidR="009E0675" w:rsidRDefault="009E0675" w:rsidP="009E0675">
      <w:pPr>
        <w:numPr>
          <w:ilvl w:val="12"/>
          <w:numId w:val="0"/>
        </w:numPr>
        <w:rPr>
          <w:rFonts w:cs="Arial"/>
          <w:sz w:val="20"/>
        </w:rPr>
      </w:pPr>
      <w:r>
        <w:rPr>
          <w:rFonts w:cs="Arial"/>
          <w:sz w:val="20"/>
        </w:rPr>
        <w:t xml:space="preserve">La parte </w:t>
      </w:r>
      <w:r>
        <w:rPr>
          <w:rFonts w:cs="Arial"/>
          <w:b/>
          <w:sz w:val="20"/>
        </w:rPr>
        <w:t>vincolata</w:t>
      </w:r>
      <w:r>
        <w:rPr>
          <w:rFonts w:cs="Arial"/>
          <w:sz w:val="20"/>
        </w:rPr>
        <w:t xml:space="preserve"> al 31/12/2016 è così distinta:</w:t>
      </w:r>
    </w:p>
    <w:p w:rsidR="009E0675" w:rsidRDefault="009E0675" w:rsidP="009E0675">
      <w:pPr>
        <w:numPr>
          <w:ilvl w:val="12"/>
          <w:numId w:val="0"/>
        </w:numPr>
        <w:rPr>
          <w:rFonts w:cs="Arial"/>
          <w:sz w:val="20"/>
        </w:rPr>
      </w:pPr>
      <w:r>
        <w:rPr>
          <w:rFonts w:cs="Arial"/>
          <w:sz w:val="20"/>
        </w:rPr>
        <w:object w:dxaOrig="6854" w:dyaOrig="1561">
          <v:shape id="_x0000_i1033" type="#_x0000_t75" style="width:345.6pt;height:79.8pt" o:ole="">
            <v:imagedata r:id="rId27" o:title=""/>
          </v:shape>
          <o:OLEObject Type="Embed" ProgID="Excel.Sheet.12" ShapeID="_x0000_i1033" DrawAspect="Content" ObjectID="_1556368305" r:id="rId28"/>
        </w:object>
      </w:r>
    </w:p>
    <w:p w:rsidR="009E0675" w:rsidRDefault="009E0675" w:rsidP="009E0675">
      <w:pPr>
        <w:numPr>
          <w:ilvl w:val="12"/>
          <w:numId w:val="0"/>
        </w:numPr>
        <w:rPr>
          <w:rFonts w:cs="Arial"/>
          <w:sz w:val="20"/>
        </w:rPr>
      </w:pPr>
    </w:p>
    <w:p w:rsidR="009E0675" w:rsidRDefault="009E0675" w:rsidP="009E0675">
      <w:pPr>
        <w:numPr>
          <w:ilvl w:val="12"/>
          <w:numId w:val="0"/>
        </w:numPr>
        <w:rPr>
          <w:rFonts w:cs="Arial"/>
          <w:sz w:val="20"/>
        </w:rPr>
      </w:pPr>
      <w:r>
        <w:rPr>
          <w:rFonts w:cs="Arial"/>
          <w:sz w:val="20"/>
        </w:rPr>
        <w:t xml:space="preserve">La parte destinata agli investimenti al 31/12/2016 è così distinta: </w:t>
      </w:r>
    </w:p>
    <w:p w:rsidR="009E0675" w:rsidRDefault="009E0675" w:rsidP="009E0675">
      <w:pPr>
        <w:rPr>
          <w:rFonts w:cs="Arial"/>
          <w:sz w:val="20"/>
        </w:rPr>
      </w:pPr>
      <w:r>
        <w:rPr>
          <w:rFonts w:cs="Arial"/>
          <w:sz w:val="20"/>
        </w:rPr>
        <w:object w:dxaOrig="6833" w:dyaOrig="1606">
          <v:shape id="_x0000_i1034" type="#_x0000_t75" style="width:345.6pt;height:79.2pt" o:ole="">
            <v:imagedata r:id="rId29" o:title=""/>
          </v:shape>
          <o:OLEObject Type="Embed" ProgID="Excel.Sheet.12" ShapeID="_x0000_i1034" DrawAspect="Content" ObjectID="_1556368306" r:id="rId30"/>
        </w:object>
      </w:r>
    </w:p>
    <w:p w:rsidR="009E0675" w:rsidRDefault="009E0675" w:rsidP="009E0675">
      <w:pPr>
        <w:rPr>
          <w:rFonts w:cs="Arial"/>
          <w:sz w:val="20"/>
        </w:rPr>
      </w:pPr>
    </w:p>
    <w:p w:rsidR="009E0675" w:rsidRPr="009E0675" w:rsidRDefault="009E0675" w:rsidP="009E0675">
      <w:pPr>
        <w:rPr>
          <w:rFonts w:cs="Arial"/>
          <w:bCs/>
          <w:sz w:val="20"/>
        </w:rPr>
      </w:pPr>
    </w:p>
    <w:p w:rsidR="00C30A8E" w:rsidRDefault="00F84CB3">
      <w:pPr>
        <w:numPr>
          <w:ilvl w:val="12"/>
          <w:numId w:val="0"/>
        </w:numPr>
        <w:rPr>
          <w:rFonts w:cs="Arial"/>
          <w:sz w:val="20"/>
        </w:rPr>
      </w:pPr>
      <w:r>
        <w:rPr>
          <w:rFonts w:cs="Arial"/>
          <w:sz w:val="20"/>
        </w:rPr>
        <w:t>L’avanzo di amministrazione rilevato al 31/12/2015 è stato così utilizzato nel corso dell’esercizio 2016:</w:t>
      </w:r>
      <w:bookmarkStart w:id="17" w:name="_MON_1487056505"/>
      <w:bookmarkEnd w:id="17"/>
      <w:r w:rsidR="00107D28">
        <w:rPr>
          <w:rFonts w:cs="Arial"/>
          <w:sz w:val="20"/>
        </w:rPr>
        <w:object w:dxaOrig="9943" w:dyaOrig="3542">
          <v:shape id="_x0000_i1035" type="#_x0000_t75" style="width:460.2pt;height:165.6pt" o:ole="">
            <v:imagedata r:id="rId31" o:title=""/>
          </v:shape>
          <o:OLEObject Type="Embed" ProgID="Excel.Sheet.12" ShapeID="_x0000_i1035" DrawAspect="Content" ObjectID="_1556368307" r:id="rId32"/>
        </w:object>
      </w:r>
    </w:p>
    <w:p w:rsidR="0074772E" w:rsidRPr="009B3B9E" w:rsidRDefault="00F84CB3" w:rsidP="009B3B9E">
      <w:pPr>
        <w:numPr>
          <w:ilvl w:val="12"/>
          <w:numId w:val="0"/>
        </w:numPr>
        <w:rPr>
          <w:rFonts w:cs="Arial"/>
          <w:sz w:val="20"/>
        </w:rPr>
      </w:pPr>
      <w:r>
        <w:rPr>
          <w:rFonts w:cs="Arial"/>
          <w:sz w:val="20"/>
        </w:rPr>
        <w:t>L’Organo di revisione ha accertato che in sede di applicazione dell’avanzo di amministrazione libero l’ente non si trovava in una delle situazioni previste dagli articoli 195 (utilizzo di entrate a destinazione specifica) e 222 (anticipazione di tesoreria).</w:t>
      </w:r>
    </w:p>
    <w:p w:rsidR="0074772E" w:rsidRDefault="0074772E">
      <w:pPr>
        <w:rPr>
          <w:rFonts w:cs="Arial"/>
          <w:b/>
          <w:i/>
          <w:color w:val="76923C" w:themeColor="accent3" w:themeShade="BF"/>
          <w:sz w:val="24"/>
          <w:szCs w:val="24"/>
          <w:u w:val="single"/>
        </w:rPr>
      </w:pPr>
    </w:p>
    <w:p w:rsidR="009E0675" w:rsidRDefault="009E0675">
      <w:pPr>
        <w:rPr>
          <w:rFonts w:cs="Arial"/>
          <w:b/>
          <w:i/>
          <w:color w:val="76923C" w:themeColor="accent3" w:themeShade="BF"/>
          <w:sz w:val="24"/>
          <w:szCs w:val="24"/>
          <w:u w:val="single"/>
        </w:rPr>
      </w:pPr>
    </w:p>
    <w:p w:rsidR="00C30A8E" w:rsidRDefault="00F84CB3">
      <w:pPr>
        <w:rPr>
          <w:rFonts w:cs="Arial"/>
          <w:b/>
          <w:i/>
          <w:color w:val="76923C" w:themeColor="accent3" w:themeShade="BF"/>
          <w:sz w:val="24"/>
          <w:szCs w:val="24"/>
          <w:u w:val="single"/>
        </w:rPr>
      </w:pPr>
      <w:r>
        <w:rPr>
          <w:rFonts w:cs="Arial"/>
          <w:b/>
          <w:i/>
          <w:color w:val="76923C" w:themeColor="accent3" w:themeShade="BF"/>
          <w:sz w:val="24"/>
          <w:szCs w:val="24"/>
          <w:u w:val="single"/>
        </w:rPr>
        <w:t>Variazione dei residui anni precedenti</w:t>
      </w:r>
    </w:p>
    <w:p w:rsidR="00C30A8E" w:rsidRDefault="00F84CB3">
      <w:pPr>
        <w:rPr>
          <w:rFonts w:cs="Arial"/>
          <w:sz w:val="18"/>
          <w:szCs w:val="18"/>
        </w:rPr>
      </w:pPr>
      <w:r>
        <w:rPr>
          <w:rFonts w:cs="Arial"/>
          <w:sz w:val="18"/>
          <w:szCs w:val="18"/>
        </w:rPr>
        <w:t>L’entità dei residui iscritti dopo il riaccertamento ordinario ha subito la seguente evoluzione:</w:t>
      </w:r>
    </w:p>
    <w:p w:rsidR="00C30A8E" w:rsidRDefault="00C30A8E">
      <w:pPr>
        <w:rPr>
          <w:rFonts w:cs="Arial"/>
          <w:b/>
          <w:sz w:val="18"/>
          <w:szCs w:val="18"/>
        </w:rPr>
      </w:pPr>
    </w:p>
    <w:bookmarkStart w:id="18" w:name="_MON_1519223183"/>
    <w:bookmarkEnd w:id="18"/>
    <w:p w:rsidR="00C30A8E" w:rsidRDefault="002D223F">
      <w:pPr>
        <w:widowControl/>
        <w:overflowPunct/>
        <w:autoSpaceDE/>
        <w:autoSpaceDN/>
        <w:adjustRightInd/>
        <w:spacing w:after="0"/>
        <w:jc w:val="left"/>
        <w:textAlignment w:val="auto"/>
      </w:pPr>
      <w:r>
        <w:object w:dxaOrig="7481" w:dyaOrig="1475">
          <v:shape id="_x0000_i1036" type="#_x0000_t75" style="width:375pt;height:79.8pt" o:ole="">
            <v:imagedata r:id="rId33" o:title=""/>
          </v:shape>
          <o:OLEObject Type="Embed" ProgID="Excel.Sheet.12" ShapeID="_x0000_i1036" DrawAspect="Content" ObjectID="_1556368308" r:id="rId34"/>
        </w:object>
      </w:r>
    </w:p>
    <w:p w:rsidR="00C30A8E" w:rsidRDefault="00C30A8E">
      <w:pPr>
        <w:widowControl/>
        <w:overflowPunct/>
        <w:autoSpaceDE/>
        <w:autoSpaceDN/>
        <w:adjustRightInd/>
        <w:spacing w:after="0"/>
        <w:jc w:val="left"/>
        <w:textAlignment w:val="auto"/>
        <w:rPr>
          <w:b/>
          <w:i/>
          <w:sz w:val="24"/>
          <w:szCs w:val="24"/>
          <w:u w:val="single"/>
        </w:rPr>
      </w:pPr>
    </w:p>
    <w:p w:rsidR="00C30A8E" w:rsidRDefault="00C30A8E">
      <w:pPr>
        <w:rPr>
          <w:rFonts w:cs="Arial"/>
          <w:sz w:val="20"/>
        </w:rPr>
      </w:pPr>
    </w:p>
    <w:p w:rsidR="00C30A8E" w:rsidRDefault="00F84CB3">
      <w:pPr>
        <w:numPr>
          <w:ilvl w:val="12"/>
          <w:numId w:val="0"/>
        </w:numPr>
        <w:rPr>
          <w:rFonts w:cs="Arial"/>
          <w:sz w:val="20"/>
        </w:rPr>
      </w:pPr>
      <w:r>
        <w:rPr>
          <w:rFonts w:cs="Arial"/>
          <w:sz w:val="20"/>
        </w:rPr>
        <w:t xml:space="preserve">L’Organo di revisione ha verificato la quantificazione delle quote vincolate, destinate e accantonate e la natura del loro finanziamento. </w:t>
      </w:r>
    </w:p>
    <w:p w:rsidR="00C30A8E" w:rsidRDefault="00C30A8E">
      <w:pPr>
        <w:numPr>
          <w:ilvl w:val="12"/>
          <w:numId w:val="0"/>
        </w:numPr>
        <w:rPr>
          <w:rFonts w:cs="Arial"/>
          <w:b/>
          <w:sz w:val="20"/>
        </w:rPr>
      </w:pPr>
    </w:p>
    <w:p w:rsidR="00C30A8E" w:rsidRDefault="00F84CB3">
      <w:pPr>
        <w:widowControl/>
        <w:pBdr>
          <w:top w:val="single" w:sz="4" w:space="1" w:color="auto"/>
          <w:left w:val="single" w:sz="4" w:space="4" w:color="auto"/>
          <w:bottom w:val="single" w:sz="4" w:space="1" w:color="auto"/>
          <w:right w:val="single" w:sz="4" w:space="4" w:color="auto"/>
        </w:pBdr>
        <w:shd w:val="clear" w:color="auto" w:fill="D6E3BC" w:themeFill="accent3" w:themeFillTint="66"/>
        <w:overflowPunct/>
        <w:autoSpaceDE/>
        <w:autoSpaceDN/>
        <w:adjustRightInd/>
        <w:spacing w:after="0"/>
        <w:jc w:val="center"/>
        <w:textAlignment w:val="auto"/>
        <w:rPr>
          <w:b/>
          <w:i/>
          <w:sz w:val="28"/>
          <w:szCs w:val="28"/>
        </w:rPr>
      </w:pPr>
      <w:r>
        <w:rPr>
          <w:b/>
          <w:i/>
          <w:sz w:val="28"/>
          <w:szCs w:val="28"/>
          <w:shd w:val="clear" w:color="auto" w:fill="D6E3BC" w:themeFill="accent3" w:themeFillTint="66"/>
        </w:rPr>
        <w:t>VE</w:t>
      </w:r>
      <w:r>
        <w:rPr>
          <w:b/>
          <w:i/>
          <w:sz w:val="28"/>
          <w:szCs w:val="28"/>
        </w:rPr>
        <w:t>RIFICA CONGRUITA’ FONDI</w:t>
      </w:r>
    </w:p>
    <w:p w:rsidR="00C30A8E" w:rsidRDefault="00C30A8E">
      <w:pPr>
        <w:widowControl/>
        <w:overflowPunct/>
        <w:autoSpaceDE/>
        <w:autoSpaceDN/>
        <w:adjustRightInd/>
        <w:spacing w:after="0"/>
        <w:jc w:val="left"/>
        <w:textAlignment w:val="auto"/>
        <w:rPr>
          <w:b/>
        </w:rPr>
      </w:pPr>
    </w:p>
    <w:p w:rsidR="00C30A8E" w:rsidRDefault="00F84CB3">
      <w:pPr>
        <w:widowControl/>
        <w:overflowPunct/>
        <w:autoSpaceDE/>
        <w:autoSpaceDN/>
        <w:adjustRightInd/>
        <w:spacing w:after="0"/>
        <w:jc w:val="left"/>
        <w:textAlignment w:val="auto"/>
        <w:rPr>
          <w:b/>
        </w:rPr>
      </w:pPr>
      <w:r>
        <w:rPr>
          <w:b/>
        </w:rPr>
        <w:t>Fondo crediti di dubbia esigibilità</w:t>
      </w:r>
    </w:p>
    <w:p w:rsidR="009B3B9E" w:rsidRPr="009B3B9E" w:rsidRDefault="00F84CB3" w:rsidP="009B3B9E">
      <w:pPr>
        <w:widowControl/>
        <w:overflowPunct/>
        <w:autoSpaceDE/>
        <w:autoSpaceDN/>
        <w:adjustRightInd/>
        <w:spacing w:after="0"/>
        <w:jc w:val="left"/>
        <w:textAlignment w:val="auto"/>
        <w:rPr>
          <w:sz w:val="20"/>
        </w:rPr>
      </w:pPr>
      <w:r>
        <w:rPr>
          <w:sz w:val="20"/>
        </w:rPr>
        <w:t>L’ente ha provveduto all’accantonamento di una quota del risultato di amministrazione al fondo crediti di dubbia esigibilità come richiesto al punto 3.3 del principio contabile applicato 4.2.</w:t>
      </w:r>
      <w:r w:rsidR="0062075F">
        <w:rPr>
          <w:sz w:val="20"/>
        </w:rPr>
        <w:t>; l</w:t>
      </w:r>
      <w:r w:rsidR="00631C27" w:rsidRPr="0062075F">
        <w:rPr>
          <w:sz w:val="20"/>
        </w:rPr>
        <w:t>a quota è pari ad €. 8.972,71</w:t>
      </w:r>
      <w:r w:rsidR="0062075F">
        <w:rPr>
          <w:sz w:val="20"/>
        </w:rPr>
        <w:t>.</w:t>
      </w:r>
    </w:p>
    <w:p w:rsidR="00C30A8E" w:rsidRDefault="00C30A8E">
      <w:pPr>
        <w:rPr>
          <w:u w:val="single"/>
        </w:rPr>
      </w:pPr>
    </w:p>
    <w:p w:rsidR="00C30A8E" w:rsidRDefault="00F84CB3">
      <w:pPr>
        <w:rPr>
          <w:b/>
          <w:szCs w:val="22"/>
          <w:u w:val="single"/>
        </w:rPr>
      </w:pPr>
      <w:r>
        <w:rPr>
          <w:b/>
          <w:szCs w:val="22"/>
          <w:u w:val="single"/>
        </w:rPr>
        <w:t>Fondo indennità di fine mandato</w:t>
      </w:r>
    </w:p>
    <w:p w:rsidR="00C30A8E" w:rsidRDefault="00F84CB3">
      <w:pPr>
        <w:rPr>
          <w:sz w:val="20"/>
        </w:rPr>
      </w:pPr>
      <w:r>
        <w:rPr>
          <w:sz w:val="20"/>
        </w:rPr>
        <w:t xml:space="preserve">E’ stato costituito un fondo </w:t>
      </w:r>
      <w:r w:rsidR="0062075F">
        <w:rPr>
          <w:sz w:val="20"/>
        </w:rPr>
        <w:t xml:space="preserve">complessivo </w:t>
      </w:r>
      <w:r w:rsidRPr="00923077">
        <w:rPr>
          <w:sz w:val="20"/>
        </w:rPr>
        <w:t xml:space="preserve">di euro </w:t>
      </w:r>
      <w:r w:rsidR="00923077" w:rsidRPr="00923077">
        <w:rPr>
          <w:sz w:val="20"/>
        </w:rPr>
        <w:t>5.627,74,</w:t>
      </w:r>
      <w:r w:rsidR="0062075F" w:rsidRPr="00923077">
        <w:rPr>
          <w:sz w:val="20"/>
        </w:rPr>
        <w:t xml:space="preserve"> </w:t>
      </w:r>
      <w:r w:rsidRPr="00923077">
        <w:rPr>
          <w:sz w:val="20"/>
        </w:rPr>
        <w:t>sulla base di quanto previsto nel bilancio 2016 per indennità di fine mandato.</w:t>
      </w:r>
      <w:r>
        <w:rPr>
          <w:sz w:val="20"/>
        </w:rPr>
        <w:t xml:space="preserve"> </w:t>
      </w:r>
    </w:p>
    <w:p w:rsidR="00C30A8E" w:rsidRDefault="00C30A8E"/>
    <w:p w:rsidR="00C30A8E" w:rsidRDefault="00C30A8E"/>
    <w:p w:rsidR="00C30A8E" w:rsidRPr="0074772E" w:rsidRDefault="00F84CB3">
      <w:pPr>
        <w:widowControl/>
        <w:overflowPunct/>
        <w:autoSpaceDE/>
        <w:autoSpaceDN/>
        <w:adjustRightInd/>
        <w:spacing w:after="0"/>
        <w:jc w:val="left"/>
        <w:textAlignment w:val="auto"/>
      </w:pPr>
      <w:r>
        <w:br w:type="page"/>
      </w:r>
    </w:p>
    <w:p w:rsidR="00C30A8E" w:rsidRDefault="00F84CB3">
      <w:pPr>
        <w:pStyle w:val="Titolo3"/>
        <w:pBdr>
          <w:top w:val="single" w:sz="4" w:space="1" w:color="auto"/>
          <w:left w:val="single" w:sz="4" w:space="4" w:color="auto"/>
          <w:bottom w:val="single" w:sz="4" w:space="1" w:color="auto"/>
          <w:right w:val="single" w:sz="4" w:space="4" w:color="auto"/>
        </w:pBdr>
        <w:shd w:val="clear" w:color="auto" w:fill="D6E3BC" w:themeFill="accent3" w:themeFillTint="66"/>
        <w:jc w:val="center"/>
        <w:rPr>
          <w:sz w:val="28"/>
          <w:szCs w:val="28"/>
          <w:u w:val="none"/>
        </w:rPr>
      </w:pPr>
      <w:r>
        <w:rPr>
          <w:sz w:val="28"/>
          <w:szCs w:val="28"/>
          <w:u w:val="none"/>
        </w:rPr>
        <w:t>VERIFICA OBIETTIVI DI FINANZA PUBBLICA</w:t>
      </w:r>
    </w:p>
    <w:p w:rsidR="00C30A8E" w:rsidRDefault="00F84CB3">
      <w:pPr>
        <w:numPr>
          <w:ilvl w:val="12"/>
          <w:numId w:val="0"/>
        </w:numPr>
        <w:rPr>
          <w:rFonts w:cs="Arial"/>
          <w:sz w:val="20"/>
        </w:rPr>
      </w:pPr>
      <w:r w:rsidRPr="0074772E">
        <w:rPr>
          <w:rFonts w:cs="Arial"/>
          <w:sz w:val="20"/>
        </w:rPr>
        <w:t xml:space="preserve">L’Ente ha </w:t>
      </w:r>
      <w:r>
        <w:rPr>
          <w:rFonts w:cs="Arial"/>
          <w:sz w:val="20"/>
        </w:rPr>
        <w:t>rispettato gli obiettivi del patto di finanza pubblica per l’anno 2016 stabiliti dall’art. 1 commi 709 e seguenti della Legge 208/2015, avendo registrato i seguenti risultati:</w:t>
      </w:r>
    </w:p>
    <w:tbl>
      <w:tblPr>
        <w:tblW w:w="11380" w:type="dxa"/>
        <w:tblInd w:w="47" w:type="dxa"/>
        <w:tblCellMar>
          <w:left w:w="70" w:type="dxa"/>
          <w:right w:w="70" w:type="dxa"/>
        </w:tblCellMar>
        <w:tblLook w:val="04A0" w:firstRow="1" w:lastRow="0" w:firstColumn="1" w:lastColumn="0" w:noHBand="0" w:noVBand="1"/>
      </w:tblPr>
      <w:tblGrid>
        <w:gridCol w:w="11380"/>
      </w:tblGrid>
      <w:tr w:rsidR="00C30A8E">
        <w:trPr>
          <w:trHeight w:val="1005"/>
        </w:trPr>
        <w:tc>
          <w:tcPr>
            <w:tcW w:w="11380" w:type="dxa"/>
            <w:tcBorders>
              <w:top w:val="nil"/>
              <w:left w:val="nil"/>
              <w:bottom w:val="nil"/>
              <w:right w:val="nil"/>
            </w:tcBorders>
            <w:shd w:val="clear" w:color="auto" w:fill="auto"/>
            <w:vAlign w:val="bottom"/>
          </w:tcPr>
          <w:p w:rsidR="00C30A8E" w:rsidRDefault="00C30A8E">
            <w:pPr>
              <w:widowControl/>
              <w:overflowPunct/>
              <w:autoSpaceDE/>
              <w:autoSpaceDN/>
              <w:adjustRightInd/>
              <w:spacing w:after="0"/>
              <w:jc w:val="left"/>
              <w:textAlignment w:val="auto"/>
              <w:rPr>
                <w:rFonts w:cs="Arial"/>
                <w:i/>
                <w:iCs/>
                <w:sz w:val="16"/>
                <w:szCs w:val="16"/>
              </w:rPr>
            </w:pPr>
          </w:p>
        </w:tc>
      </w:tr>
    </w:tbl>
    <w:bookmarkStart w:id="19" w:name="_MON_1550494959"/>
    <w:bookmarkEnd w:id="19"/>
    <w:bookmarkStart w:id="20" w:name="_MON_1549896256"/>
    <w:bookmarkEnd w:id="20"/>
    <w:p w:rsidR="00C30A8E" w:rsidRDefault="00E52153">
      <w:pPr>
        <w:numPr>
          <w:ilvl w:val="12"/>
          <w:numId w:val="0"/>
        </w:numPr>
        <w:rPr>
          <w:rFonts w:cs="Arial"/>
          <w:sz w:val="20"/>
        </w:rPr>
      </w:pPr>
      <w:r>
        <w:rPr>
          <w:rFonts w:cs="Arial"/>
          <w:sz w:val="20"/>
        </w:rPr>
        <w:object w:dxaOrig="11511" w:dyaOrig="13538">
          <v:shape id="_x0000_i1037" type="#_x0000_t75" style="width:499.2pt;height:585pt" o:ole="">
            <v:imagedata r:id="rId35" o:title=""/>
          </v:shape>
          <o:OLEObject Type="Embed" ProgID="Excel.Sheet.12" ShapeID="_x0000_i1037" DrawAspect="Content" ObjectID="_1556368309" r:id="rId36"/>
        </w:object>
      </w:r>
    </w:p>
    <w:p w:rsidR="00C30A8E" w:rsidRDefault="00F84CB3">
      <w:pPr>
        <w:rPr>
          <w:rFonts w:cs="Arial"/>
          <w:sz w:val="20"/>
        </w:rPr>
      </w:pPr>
      <w:r>
        <w:rPr>
          <w:rFonts w:cs="Arial"/>
          <w:sz w:val="20"/>
        </w:rPr>
        <w:t xml:space="preserve">L’ente ha provveduto in data </w:t>
      </w:r>
      <w:r w:rsidR="0074772E">
        <w:rPr>
          <w:rFonts w:cs="Arial"/>
          <w:sz w:val="20"/>
        </w:rPr>
        <w:t>29/03/2017</w:t>
      </w:r>
      <w:r>
        <w:rPr>
          <w:rFonts w:cs="Arial"/>
          <w:sz w:val="20"/>
        </w:rPr>
        <w:t xml:space="preserve"> a trasmettere al Ministero dell’economia e delle finanze, la certificazione secondo i prospetti allegati al decreto del Ministero dell’Economia e delle finanze n. 36991 del 6/3/2017.</w:t>
      </w:r>
    </w:p>
    <w:p w:rsidR="003B3747" w:rsidRDefault="003B3747">
      <w:pPr>
        <w:rPr>
          <w:rFonts w:cs="Arial"/>
          <w:sz w:val="20"/>
        </w:rPr>
      </w:pPr>
    </w:p>
    <w:p w:rsidR="00793C23" w:rsidRDefault="00793C23">
      <w:pPr>
        <w:rPr>
          <w:rFonts w:cs="Arial"/>
          <w:sz w:val="20"/>
        </w:rPr>
      </w:pPr>
    </w:p>
    <w:p w:rsidR="00793C23" w:rsidRDefault="00793C23">
      <w:pPr>
        <w:rPr>
          <w:rFonts w:cs="Arial"/>
          <w:sz w:val="20"/>
        </w:rPr>
      </w:pPr>
    </w:p>
    <w:p w:rsidR="003B3747" w:rsidRDefault="003B3747">
      <w:pPr>
        <w:rPr>
          <w:rFonts w:cs="Arial"/>
          <w:sz w:val="20"/>
        </w:rPr>
      </w:pPr>
    </w:p>
    <w:p w:rsidR="00C30A8E" w:rsidRDefault="00F84CB3" w:rsidP="003B3747">
      <w:pPr>
        <w:pStyle w:val="Titolo1"/>
        <w:pBdr>
          <w:top w:val="single" w:sz="4" w:space="0" w:color="auto" w:shadow="1"/>
          <w:bottom w:val="single" w:sz="4" w:space="2" w:color="auto" w:shadow="1"/>
        </w:pBdr>
        <w:shd w:val="clear" w:color="auto" w:fill="D6E3BC" w:themeFill="accent3" w:themeFillTint="66"/>
      </w:pPr>
      <w:bookmarkStart w:id="21" w:name="_Toc379377458"/>
      <w:r>
        <w:t>ANALISI DELLE PRINCIPALI POSTE</w:t>
      </w:r>
      <w:bookmarkEnd w:id="21"/>
    </w:p>
    <w:p w:rsidR="00C30A8E" w:rsidRDefault="00F84CB3">
      <w:pPr>
        <w:pStyle w:val="Titolo2"/>
      </w:pPr>
      <w:bookmarkStart w:id="22" w:name="_Toc379377459"/>
      <w:r>
        <w:t>Entrate correnti di natura tributaria, contributiva e perequativa</w:t>
      </w:r>
      <w:bookmarkEnd w:id="22"/>
    </w:p>
    <w:p w:rsidR="00C30A8E" w:rsidRDefault="00F84CB3">
      <w:pPr>
        <w:rPr>
          <w:sz w:val="20"/>
        </w:rPr>
      </w:pPr>
      <w:r>
        <w:rPr>
          <w:sz w:val="20"/>
        </w:rPr>
        <w:t>Le entrate tributarie accertate nell’anno 2016, presentano i seguenti scostamenti rispetto a quelle accertate negli anni 2014 e 2015:</w:t>
      </w:r>
    </w:p>
    <w:bookmarkStart w:id="23" w:name="_MON_1550735777"/>
    <w:bookmarkEnd w:id="23"/>
    <w:p w:rsidR="00C30A8E" w:rsidRDefault="00D93429">
      <w:pPr>
        <w:rPr>
          <w:sz w:val="20"/>
        </w:rPr>
      </w:pPr>
      <w:r>
        <w:rPr>
          <w:sz w:val="20"/>
        </w:rPr>
        <w:object w:dxaOrig="7665" w:dyaOrig="6990">
          <v:shape id="_x0000_i1038" type="#_x0000_t75" style="width:381.6pt;height:352.8pt" o:ole="">
            <v:imagedata r:id="rId37" o:title=""/>
          </v:shape>
          <o:OLEObject Type="Embed" ProgID="Excel.Sheet.12" ShapeID="_x0000_i1038" DrawAspect="Content" ObjectID="_1556368310" r:id="rId38"/>
        </w:object>
      </w:r>
    </w:p>
    <w:p w:rsidR="00C30A8E" w:rsidRDefault="00C30A8E">
      <w:pPr>
        <w:numPr>
          <w:ilvl w:val="12"/>
          <w:numId w:val="0"/>
        </w:numPr>
        <w:rPr>
          <w:rFonts w:cs="Arial"/>
          <w:sz w:val="20"/>
        </w:rPr>
      </w:pPr>
    </w:p>
    <w:p w:rsidR="002D6D99" w:rsidRDefault="002D6D99">
      <w:pPr>
        <w:numPr>
          <w:ilvl w:val="12"/>
          <w:numId w:val="0"/>
        </w:numPr>
        <w:rPr>
          <w:rFonts w:cs="Arial"/>
          <w:sz w:val="20"/>
        </w:rPr>
      </w:pPr>
    </w:p>
    <w:p w:rsidR="00E92753" w:rsidRDefault="00E92753">
      <w:pPr>
        <w:numPr>
          <w:ilvl w:val="12"/>
          <w:numId w:val="0"/>
        </w:numPr>
        <w:rPr>
          <w:rFonts w:cs="Arial"/>
          <w:sz w:val="20"/>
        </w:rPr>
      </w:pPr>
    </w:p>
    <w:p w:rsidR="00E14C8F" w:rsidRDefault="00E14C8F">
      <w:pPr>
        <w:numPr>
          <w:ilvl w:val="12"/>
          <w:numId w:val="0"/>
        </w:numPr>
        <w:rPr>
          <w:rFonts w:cs="Arial"/>
          <w:sz w:val="20"/>
        </w:rPr>
      </w:pPr>
    </w:p>
    <w:p w:rsidR="00E14C8F" w:rsidRDefault="00E14C8F">
      <w:pPr>
        <w:numPr>
          <w:ilvl w:val="12"/>
          <w:numId w:val="0"/>
        </w:numPr>
        <w:rPr>
          <w:rFonts w:cs="Arial"/>
          <w:sz w:val="20"/>
        </w:rPr>
      </w:pPr>
    </w:p>
    <w:p w:rsidR="002D6D99" w:rsidRDefault="002D6D99">
      <w:pPr>
        <w:numPr>
          <w:ilvl w:val="12"/>
          <w:numId w:val="0"/>
        </w:numPr>
        <w:rPr>
          <w:rFonts w:cs="Arial"/>
          <w:sz w:val="20"/>
        </w:rPr>
      </w:pPr>
    </w:p>
    <w:p w:rsidR="009E0675" w:rsidRDefault="009E0675">
      <w:pPr>
        <w:numPr>
          <w:ilvl w:val="12"/>
          <w:numId w:val="0"/>
        </w:numPr>
        <w:rPr>
          <w:rFonts w:cs="Arial"/>
          <w:sz w:val="20"/>
        </w:rPr>
      </w:pPr>
    </w:p>
    <w:p w:rsidR="009E0675" w:rsidRDefault="009E0675">
      <w:pPr>
        <w:numPr>
          <w:ilvl w:val="12"/>
          <w:numId w:val="0"/>
        </w:numPr>
        <w:rPr>
          <w:rFonts w:cs="Arial"/>
          <w:sz w:val="20"/>
        </w:rPr>
      </w:pPr>
    </w:p>
    <w:p w:rsidR="009E0675" w:rsidRDefault="009E0675">
      <w:pPr>
        <w:numPr>
          <w:ilvl w:val="12"/>
          <w:numId w:val="0"/>
        </w:numPr>
        <w:rPr>
          <w:rFonts w:cs="Arial"/>
          <w:sz w:val="20"/>
        </w:rPr>
      </w:pPr>
    </w:p>
    <w:p w:rsidR="00C30A8E" w:rsidRDefault="00F84CB3">
      <w:pPr>
        <w:numPr>
          <w:ilvl w:val="12"/>
          <w:numId w:val="0"/>
        </w:numPr>
        <w:rPr>
          <w:rFonts w:cs="Arial"/>
          <w:b/>
          <w:sz w:val="24"/>
          <w:szCs w:val="24"/>
        </w:rPr>
      </w:pPr>
      <w:r>
        <w:rPr>
          <w:rFonts w:cs="Arial"/>
          <w:b/>
          <w:sz w:val="24"/>
          <w:szCs w:val="24"/>
        </w:rPr>
        <w:t>Entrate per recupero evasione tributaria</w:t>
      </w:r>
    </w:p>
    <w:p w:rsidR="00C30A8E" w:rsidRDefault="00F84CB3">
      <w:pPr>
        <w:numPr>
          <w:ilvl w:val="12"/>
          <w:numId w:val="0"/>
        </w:numPr>
        <w:rPr>
          <w:rFonts w:cs="Arial"/>
          <w:sz w:val="20"/>
        </w:rPr>
      </w:pPr>
      <w:r>
        <w:rPr>
          <w:rFonts w:cs="Arial"/>
          <w:sz w:val="20"/>
        </w:rPr>
        <w:t>In merito all’attività di controllo delle dichiarazioni e dei versamenti l’organo di revisione rileva che sono stati conseguiti i risultati attesi e che in particolare le entrate per recupero evasione sono state le seguenti:</w:t>
      </w:r>
    </w:p>
    <w:bookmarkStart w:id="24" w:name="_MON_1550671833"/>
    <w:bookmarkEnd w:id="24"/>
    <w:p w:rsidR="00C30A8E" w:rsidRDefault="00D93429" w:rsidP="003B3747">
      <w:pPr>
        <w:numPr>
          <w:ilvl w:val="12"/>
          <w:numId w:val="0"/>
        </w:numPr>
        <w:rPr>
          <w:sz w:val="20"/>
        </w:rPr>
      </w:pPr>
      <w:r>
        <w:rPr>
          <w:rFonts w:cs="Arial"/>
          <w:sz w:val="20"/>
        </w:rPr>
        <w:object w:dxaOrig="5670" w:dyaOrig="2145">
          <v:shape id="_x0000_i1039" type="#_x0000_t75" style="width:4in;height:108pt" o:ole="">
            <v:imagedata r:id="rId39" o:title=""/>
          </v:shape>
          <o:OLEObject Type="Embed" ProgID="Excel.Sheet.12" ShapeID="_x0000_i1039" DrawAspect="Content" ObjectID="_1556368311" r:id="rId40"/>
        </w:object>
      </w:r>
    </w:p>
    <w:p w:rsidR="00C30A8E" w:rsidRDefault="00C30A8E"/>
    <w:p w:rsidR="00C30A8E" w:rsidRDefault="00F84CB3">
      <w:pPr>
        <w:pStyle w:val="Titolo2"/>
      </w:pPr>
      <w:bookmarkStart w:id="25" w:name="_Toc379377460"/>
      <w:r>
        <w:t>Contributi per permesso di costruire</w:t>
      </w:r>
      <w:bookmarkEnd w:id="25"/>
    </w:p>
    <w:p w:rsidR="00C30A8E" w:rsidRDefault="00E92753">
      <w:pPr>
        <w:spacing w:before="120" w:after="240"/>
        <w:rPr>
          <w:sz w:val="20"/>
        </w:rPr>
      </w:pPr>
      <w:r>
        <w:rPr>
          <w:sz w:val="20"/>
        </w:rPr>
        <w:t>Il totale degli accertamenti e delle riscossioni, per l’anno 2016, relativo ai contributi per permesso di costruire è pari ad €. 1.878,34.</w:t>
      </w:r>
    </w:p>
    <w:p w:rsidR="00C30A8E" w:rsidRPr="00E92753" w:rsidRDefault="00C30A8E" w:rsidP="00E92753">
      <w:pPr>
        <w:pStyle w:val="Titolo2"/>
      </w:pPr>
    </w:p>
    <w:p w:rsidR="00C30A8E" w:rsidRPr="00E92753" w:rsidRDefault="00F84CB3" w:rsidP="00E92753">
      <w:pPr>
        <w:pStyle w:val="Titolo2"/>
      </w:pPr>
      <w:bookmarkStart w:id="26" w:name="_Toc379377461"/>
      <w:r>
        <w:t>Trasferimenti correnti dallo Stato e da altri Enti</w:t>
      </w:r>
      <w:bookmarkEnd w:id="26"/>
      <w:r>
        <w:t xml:space="preserve"> </w:t>
      </w:r>
    </w:p>
    <w:p w:rsidR="00C30A8E" w:rsidRDefault="00F84CB3">
      <w:pPr>
        <w:numPr>
          <w:ilvl w:val="12"/>
          <w:numId w:val="0"/>
        </w:numPr>
        <w:rPr>
          <w:rFonts w:cs="Arial"/>
          <w:sz w:val="20"/>
        </w:rPr>
      </w:pPr>
      <w:r>
        <w:rPr>
          <w:rFonts w:cs="Arial"/>
          <w:sz w:val="20"/>
        </w:rPr>
        <w:t>L’accertamento delle entrate per trasferimenti presenta il seguente andamento:</w:t>
      </w:r>
    </w:p>
    <w:bookmarkStart w:id="27" w:name="_MON_1487053384"/>
    <w:bookmarkEnd w:id="27"/>
    <w:p w:rsidR="00C30A8E" w:rsidRDefault="00D93429" w:rsidP="003B3747">
      <w:pPr>
        <w:numPr>
          <w:ilvl w:val="12"/>
          <w:numId w:val="0"/>
        </w:numPr>
        <w:rPr>
          <w:rFonts w:cs="Arial"/>
        </w:rPr>
      </w:pPr>
      <w:r>
        <w:rPr>
          <w:rFonts w:cs="Arial"/>
          <w:sz w:val="20"/>
        </w:rPr>
        <w:object w:dxaOrig="9522" w:dyaOrig="3276">
          <v:shape id="_x0000_i1040" type="#_x0000_t75" style="width:475.8pt;height:165.6pt" o:ole="">
            <v:imagedata r:id="rId41" o:title=""/>
          </v:shape>
          <o:OLEObject Type="Embed" ProgID="Excel.Sheet.12" ShapeID="_x0000_i1040" DrawAspect="Content" ObjectID="_1556368312" r:id="rId42"/>
        </w:object>
      </w:r>
    </w:p>
    <w:p w:rsidR="00E14C8F" w:rsidRDefault="00E14C8F" w:rsidP="00A642E8">
      <w:pPr>
        <w:pStyle w:val="Titolo3"/>
      </w:pPr>
      <w:bookmarkStart w:id="28" w:name="_Toc379377462"/>
    </w:p>
    <w:p w:rsidR="009E0675" w:rsidRDefault="009E0675" w:rsidP="009E0675"/>
    <w:p w:rsidR="009E0675" w:rsidRDefault="009E0675" w:rsidP="009E0675"/>
    <w:p w:rsidR="009E0675" w:rsidRDefault="009E0675" w:rsidP="009E0675"/>
    <w:p w:rsidR="009E0675" w:rsidRDefault="009E0675" w:rsidP="009E0675"/>
    <w:p w:rsidR="009E0675" w:rsidRDefault="009E0675" w:rsidP="009E0675"/>
    <w:p w:rsidR="009E0675" w:rsidRDefault="009E0675" w:rsidP="009E0675"/>
    <w:p w:rsidR="009E0675" w:rsidRDefault="009E0675" w:rsidP="009E0675"/>
    <w:p w:rsidR="009E0675" w:rsidRDefault="009E0675" w:rsidP="009E0675"/>
    <w:p w:rsidR="009E0675" w:rsidRDefault="009E0675" w:rsidP="009E0675"/>
    <w:p w:rsidR="009E0675" w:rsidRPr="009E0675" w:rsidRDefault="009E0675" w:rsidP="009E0675"/>
    <w:p w:rsidR="00C30A8E" w:rsidRPr="00A642E8" w:rsidRDefault="00F84CB3" w:rsidP="00A642E8">
      <w:pPr>
        <w:pStyle w:val="Titolo3"/>
      </w:pPr>
      <w:r>
        <w:t>Entrate Extratributarie</w:t>
      </w:r>
      <w:bookmarkEnd w:id="28"/>
      <w:r>
        <w:t xml:space="preserve"> </w:t>
      </w:r>
    </w:p>
    <w:p w:rsidR="00C30A8E" w:rsidRDefault="00F84CB3">
      <w:pPr>
        <w:numPr>
          <w:ilvl w:val="12"/>
          <w:numId w:val="0"/>
        </w:numPr>
        <w:rPr>
          <w:rFonts w:cs="Arial"/>
          <w:sz w:val="20"/>
        </w:rPr>
      </w:pPr>
      <w:r>
        <w:rPr>
          <w:rFonts w:cs="Arial"/>
          <w:sz w:val="20"/>
        </w:rPr>
        <w:t>La entrate extratributarie accertate nell’anno 2016, presentano i seguenti scostamenti rispetto a quelle accertate negli anni 2014 e 2015:</w:t>
      </w:r>
    </w:p>
    <w:p w:rsidR="00C30A8E" w:rsidRDefault="00C30A8E">
      <w:pPr>
        <w:numPr>
          <w:ilvl w:val="12"/>
          <w:numId w:val="0"/>
        </w:numPr>
        <w:rPr>
          <w:rFonts w:cs="Arial"/>
          <w:sz w:val="20"/>
        </w:rPr>
      </w:pPr>
    </w:p>
    <w:bookmarkStart w:id="29" w:name="_MON_1487055459"/>
    <w:bookmarkEnd w:id="29"/>
    <w:p w:rsidR="00C30A8E" w:rsidRDefault="00242CE7">
      <w:pPr>
        <w:numPr>
          <w:ilvl w:val="12"/>
          <w:numId w:val="0"/>
        </w:numPr>
        <w:rPr>
          <w:rFonts w:cs="Arial"/>
          <w:sz w:val="20"/>
        </w:rPr>
      </w:pPr>
      <w:r>
        <w:rPr>
          <w:rFonts w:cs="Arial"/>
          <w:sz w:val="20"/>
        </w:rPr>
        <w:object w:dxaOrig="8537" w:dyaOrig="2785">
          <v:shape id="_x0000_i1041" type="#_x0000_t75" style="width:424.2pt;height:136.2pt" o:ole="">
            <v:imagedata r:id="rId43" o:title=""/>
          </v:shape>
          <o:OLEObject Type="Embed" ProgID="Excel.Sheet.12" ShapeID="_x0000_i1041" DrawAspect="Content" ObjectID="_1556368313" r:id="rId44"/>
        </w:object>
      </w:r>
    </w:p>
    <w:p w:rsidR="00C30A8E" w:rsidRDefault="00C30A8E">
      <w:pPr>
        <w:pStyle w:val="Titolo3"/>
      </w:pPr>
    </w:p>
    <w:p w:rsidR="00C30A8E" w:rsidRDefault="00F84CB3">
      <w:pPr>
        <w:pStyle w:val="Titolo3"/>
      </w:pPr>
      <w:r>
        <w:t>Proventi dei servizi pubblici</w:t>
      </w:r>
    </w:p>
    <w:p w:rsidR="00C30A8E" w:rsidRDefault="00F84CB3">
      <w:pPr>
        <w:pStyle w:val="Corpodeltesto22"/>
        <w:numPr>
          <w:ilvl w:val="12"/>
          <w:numId w:val="0"/>
        </w:numPr>
        <w:rPr>
          <w:rFonts w:cs="Arial"/>
          <w:b w:val="0"/>
          <w:bCs/>
          <w:sz w:val="16"/>
          <w:szCs w:val="16"/>
        </w:rPr>
      </w:pPr>
      <w:bookmarkStart w:id="30" w:name="OLE_LINK6"/>
      <w:bookmarkStart w:id="31" w:name="OLE_LINK7"/>
      <w:r>
        <w:rPr>
          <w:b w:val="0"/>
          <w:sz w:val="20"/>
        </w:rPr>
        <w:t>Si riportano di seguito un dettaglio dei proventi e dei costi dei servizi a domanda individuale</w:t>
      </w:r>
      <w:r w:rsidR="003B3747">
        <w:rPr>
          <w:rFonts w:cs="Arial"/>
          <w:b w:val="0"/>
          <w:bCs/>
          <w:sz w:val="20"/>
        </w:rPr>
        <w:t>.</w:t>
      </w:r>
    </w:p>
    <w:bookmarkStart w:id="32" w:name="_MON_1519645269"/>
    <w:bookmarkEnd w:id="32"/>
    <w:p w:rsidR="00C30A8E" w:rsidRDefault="00E14C8F">
      <w:pPr>
        <w:numPr>
          <w:ilvl w:val="12"/>
          <w:numId w:val="0"/>
        </w:numPr>
        <w:rPr>
          <w:rFonts w:cs="Arial"/>
        </w:rPr>
      </w:pPr>
      <w:r>
        <w:rPr>
          <w:rFonts w:cs="Arial"/>
        </w:rPr>
        <w:object w:dxaOrig="8090" w:dyaOrig="3091">
          <v:shape id="_x0000_i1042" type="#_x0000_t75" style="width:403.8pt;height:151.2pt" o:ole="">
            <v:imagedata r:id="rId45" o:title=""/>
          </v:shape>
          <o:OLEObject Type="Embed" ProgID="Excel.Sheet.12" ShapeID="_x0000_i1042" DrawAspect="Content" ObjectID="_1556368314" r:id="rId46"/>
        </w:object>
      </w:r>
      <w:bookmarkEnd w:id="30"/>
      <w:bookmarkEnd w:id="31"/>
    </w:p>
    <w:p w:rsidR="00EF4AA5" w:rsidRPr="002D2FCD" w:rsidRDefault="00EF4AA5" w:rsidP="00EF4AA5">
      <w:pPr>
        <w:pStyle w:val="Corpodeltesto21"/>
        <w:numPr>
          <w:ilvl w:val="12"/>
          <w:numId w:val="0"/>
        </w:numPr>
        <w:spacing w:after="0"/>
        <w:rPr>
          <w:rFonts w:cs="Arial"/>
          <w:b/>
          <w:i/>
          <w:szCs w:val="22"/>
          <w:highlight w:val="yellow"/>
        </w:rPr>
      </w:pPr>
      <w:bookmarkStart w:id="33" w:name="OLE_LINK3"/>
      <w:bookmarkStart w:id="34" w:name="OLE_LINK4"/>
      <w:bookmarkStart w:id="35" w:name="OLE_LINK5"/>
      <w:bookmarkStart w:id="36" w:name="_Toc379377463"/>
    </w:p>
    <w:bookmarkEnd w:id="33"/>
    <w:bookmarkEnd w:id="34"/>
    <w:bookmarkEnd w:id="35"/>
    <w:p w:rsidR="00C30A8E" w:rsidRDefault="00F84CB3">
      <w:pPr>
        <w:pStyle w:val="Titolo2"/>
      </w:pPr>
      <w:r>
        <w:t>Sanzioni amministrative pecuniarie per violazione codice della strada</w:t>
      </w:r>
      <w:bookmarkEnd w:id="36"/>
    </w:p>
    <w:p w:rsidR="00C30A8E" w:rsidRPr="00240B51" w:rsidRDefault="003D3055">
      <w:pPr>
        <w:rPr>
          <w:rFonts w:cs="Arial"/>
          <w:i/>
          <w:color w:val="1F497D" w:themeColor="text2"/>
          <w:sz w:val="20"/>
        </w:rPr>
      </w:pPr>
      <w:bookmarkStart w:id="37" w:name="_Toc379377464"/>
      <w:r>
        <w:rPr>
          <w:sz w:val="20"/>
        </w:rPr>
        <w:t>Le sanzioni relative a infrazioni al codice stradale sono gestite direttamente tramite l’Unione dei Comuni tra Sture e Po.</w:t>
      </w:r>
      <w:bookmarkEnd w:id="37"/>
    </w:p>
    <w:p w:rsidR="00C30A8E" w:rsidRDefault="00C30A8E">
      <w:pPr>
        <w:widowControl/>
        <w:overflowPunct/>
        <w:autoSpaceDE/>
        <w:autoSpaceDN/>
        <w:adjustRightInd/>
        <w:spacing w:after="0"/>
        <w:jc w:val="left"/>
        <w:textAlignment w:val="auto"/>
        <w:rPr>
          <w:rFonts w:cs="Arial"/>
          <w:sz w:val="20"/>
        </w:rPr>
      </w:pPr>
    </w:p>
    <w:p w:rsidR="009E0675" w:rsidRDefault="009E0675">
      <w:pPr>
        <w:pStyle w:val="Titolo2"/>
      </w:pPr>
      <w:bookmarkStart w:id="38" w:name="_Toc379377465"/>
    </w:p>
    <w:p w:rsidR="009E0675" w:rsidRDefault="009E0675">
      <w:pPr>
        <w:pStyle w:val="Titolo2"/>
      </w:pPr>
    </w:p>
    <w:p w:rsidR="009E0675" w:rsidRDefault="009E0675">
      <w:pPr>
        <w:pStyle w:val="Titolo2"/>
      </w:pPr>
    </w:p>
    <w:p w:rsidR="009E0675" w:rsidRDefault="009E0675">
      <w:pPr>
        <w:pStyle w:val="Titolo2"/>
      </w:pPr>
    </w:p>
    <w:p w:rsidR="009E0675" w:rsidRDefault="009E0675">
      <w:pPr>
        <w:pStyle w:val="Titolo2"/>
      </w:pPr>
    </w:p>
    <w:p w:rsidR="009E0675" w:rsidRDefault="009E0675">
      <w:pPr>
        <w:pStyle w:val="Titolo2"/>
      </w:pPr>
    </w:p>
    <w:p w:rsidR="009E0675" w:rsidRDefault="009E0675">
      <w:pPr>
        <w:pStyle w:val="Titolo2"/>
      </w:pPr>
    </w:p>
    <w:p w:rsidR="00C30A8E" w:rsidRDefault="00F84CB3">
      <w:pPr>
        <w:pStyle w:val="Titolo2"/>
      </w:pPr>
      <w:r>
        <w:t>Spese correnti</w:t>
      </w:r>
      <w:bookmarkEnd w:id="38"/>
    </w:p>
    <w:p w:rsidR="00C30A8E" w:rsidRDefault="00F84CB3">
      <w:pPr>
        <w:pStyle w:val="Corpodeltesto3"/>
        <w:numPr>
          <w:ilvl w:val="12"/>
          <w:numId w:val="0"/>
        </w:numPr>
        <w:spacing w:after="240"/>
        <w:rPr>
          <w:rFonts w:cs="Arial"/>
        </w:rPr>
      </w:pPr>
      <w:r>
        <w:rPr>
          <w:rFonts w:cs="Arial"/>
        </w:rPr>
        <w:t>La comparazione delle spese correnti, riclassificate per macroaggregati, impegnate negli ultimi due esercizi evidenzia:</w:t>
      </w:r>
    </w:p>
    <w:bookmarkStart w:id="39" w:name="_MON_1549952801"/>
    <w:bookmarkEnd w:id="39"/>
    <w:p w:rsidR="00C30A8E" w:rsidRDefault="002D223F">
      <w:pPr>
        <w:pStyle w:val="Corpodeltesto3"/>
        <w:numPr>
          <w:ilvl w:val="12"/>
          <w:numId w:val="0"/>
        </w:numPr>
        <w:spacing w:after="240"/>
        <w:rPr>
          <w:rFonts w:cs="Arial"/>
        </w:rPr>
      </w:pPr>
      <w:r>
        <w:rPr>
          <w:rFonts w:cs="Arial"/>
        </w:rPr>
        <w:object w:dxaOrig="9512" w:dyaOrig="3499">
          <v:shape id="_x0000_i1043" type="#_x0000_t75" style="width:477pt;height:173.4pt" o:ole="">
            <v:imagedata r:id="rId47" o:title=""/>
          </v:shape>
          <o:OLEObject Type="Embed" ProgID="Excel.Sheet.12" ShapeID="_x0000_i1043" DrawAspect="Content" ObjectID="_1556368315" r:id="rId48"/>
        </w:object>
      </w:r>
    </w:p>
    <w:p w:rsidR="00C30A8E" w:rsidRDefault="00F84CB3">
      <w:pPr>
        <w:pStyle w:val="Titolo2"/>
      </w:pPr>
      <w:bookmarkStart w:id="40" w:name="_Toc379377466"/>
      <w:r>
        <w:t>Spese per il personale</w:t>
      </w:r>
      <w:bookmarkEnd w:id="40"/>
    </w:p>
    <w:p w:rsidR="00C30A8E" w:rsidRDefault="00F84CB3">
      <w:pPr>
        <w:rPr>
          <w:rFonts w:cs="Arial"/>
          <w:szCs w:val="22"/>
        </w:rPr>
      </w:pPr>
      <w:r>
        <w:rPr>
          <w:rFonts w:cs="Arial"/>
          <w:szCs w:val="22"/>
        </w:rPr>
        <w:t>La spesa per redditi di lavoro dipendente sostenuta nell’anno 2016, ha rispettato:</w:t>
      </w:r>
    </w:p>
    <w:p w:rsidR="00C30A8E" w:rsidRDefault="00F84CB3">
      <w:pPr>
        <w:widowControl/>
        <w:numPr>
          <w:ilvl w:val="0"/>
          <w:numId w:val="25"/>
        </w:numPr>
        <w:tabs>
          <w:tab w:val="left" w:pos="360"/>
        </w:tabs>
        <w:overflowPunct/>
        <w:autoSpaceDE/>
        <w:autoSpaceDN/>
        <w:adjustRightInd/>
        <w:spacing w:before="120" w:after="0"/>
        <w:textAlignment w:val="auto"/>
        <w:rPr>
          <w:rFonts w:cs="Arial"/>
          <w:szCs w:val="22"/>
        </w:rPr>
      </w:pPr>
      <w:r>
        <w:rPr>
          <w:rFonts w:cs="Arial"/>
          <w:szCs w:val="22"/>
        </w:rPr>
        <w:t>dei vincoli disposti dall’</w:t>
      </w:r>
      <w:hyperlink r:id="rId49" w:history="1">
        <w:r>
          <w:rPr>
            <w:rStyle w:val="Collegamentoipertestuale"/>
            <w:rFonts w:cs="Arial"/>
            <w:szCs w:val="22"/>
          </w:rPr>
          <w:t>art. 3, comma 5 e 5 quater del D.L. 90/2014</w:t>
        </w:r>
      </w:hyperlink>
      <w:r>
        <w:rPr>
          <w:rFonts w:cs="Arial"/>
          <w:szCs w:val="22"/>
        </w:rPr>
        <w:t xml:space="preserve">, dell’art.1 </w:t>
      </w:r>
      <w:hyperlink r:id="rId50" w:history="1">
        <w:r>
          <w:rPr>
            <w:rStyle w:val="Collegamentoipertestuale"/>
            <w:rFonts w:cs="Arial"/>
            <w:szCs w:val="22"/>
          </w:rPr>
          <w:t>comma 228 della Legge 208/2015</w:t>
        </w:r>
      </w:hyperlink>
      <w:r>
        <w:rPr>
          <w:rFonts w:cs="Arial"/>
          <w:szCs w:val="22"/>
        </w:rPr>
        <w:t xml:space="preserve"> e dell’</w:t>
      </w:r>
      <w:hyperlink r:id="rId51" w:history="1">
        <w:r>
          <w:rPr>
            <w:rStyle w:val="Collegamentoipertestuale"/>
            <w:rFonts w:cs="Arial"/>
            <w:szCs w:val="22"/>
          </w:rPr>
          <w:t>art.16 comma 1 bis del D.L. 113/2016</w:t>
        </w:r>
      </w:hyperlink>
      <w:r>
        <w:rPr>
          <w:rFonts w:cs="Arial"/>
          <w:szCs w:val="22"/>
        </w:rPr>
        <w:t xml:space="preserve">, sulle assunzioni di personale a tempo indeterminato per gli enti soggetti al pareggio di bilancio e al </w:t>
      </w:r>
      <w:hyperlink r:id="rId52" w:history="1">
        <w:r>
          <w:rPr>
            <w:rStyle w:val="Collegamentoipertestuale"/>
            <w:rFonts w:cs="Arial"/>
            <w:szCs w:val="22"/>
          </w:rPr>
          <w:t>comma 762 della Legge 208/2015</w:t>
        </w:r>
      </w:hyperlink>
      <w:r>
        <w:rPr>
          <w:rFonts w:cs="Arial"/>
          <w:szCs w:val="22"/>
        </w:rPr>
        <w:t xml:space="preserve">, </w:t>
      </w:r>
      <w:hyperlink r:id="rId53" w:history="1">
        <w:r>
          <w:rPr>
            <w:rStyle w:val="Collegamentoipertestuale"/>
            <w:rFonts w:cs="Arial"/>
            <w:szCs w:val="22"/>
          </w:rPr>
          <w:t>comma 562 della Legge 296/2006</w:t>
        </w:r>
      </w:hyperlink>
      <w:r>
        <w:rPr>
          <w:rFonts w:cs="Arial"/>
          <w:szCs w:val="22"/>
        </w:rPr>
        <w:t xml:space="preserve"> per gli enti che nel 2015 non erano assoggettati al patto di stabilità;</w:t>
      </w:r>
    </w:p>
    <w:p w:rsidR="00C30A8E" w:rsidRDefault="00F84CB3">
      <w:pPr>
        <w:widowControl/>
        <w:numPr>
          <w:ilvl w:val="0"/>
          <w:numId w:val="25"/>
        </w:numPr>
        <w:tabs>
          <w:tab w:val="left" w:pos="360"/>
        </w:tabs>
        <w:overflowPunct/>
        <w:autoSpaceDE/>
        <w:autoSpaceDN/>
        <w:adjustRightInd/>
        <w:spacing w:before="120" w:after="0"/>
        <w:textAlignment w:val="auto"/>
        <w:rPr>
          <w:rFonts w:cs="Arial"/>
          <w:szCs w:val="22"/>
        </w:rPr>
      </w:pPr>
      <w:r>
        <w:rPr>
          <w:rFonts w:cs="Arial"/>
          <w:szCs w:val="22"/>
        </w:rPr>
        <w:t xml:space="preserve">dell’obbligo di riduzione della spesa di personale disposto dall’art. 1 comma 557 della </w:t>
      </w:r>
      <w:hyperlink r:id="rId54" w:history="1">
        <w:r>
          <w:rPr>
            <w:rStyle w:val="Collegamentoipertestuale"/>
            <w:rFonts w:cs="Arial"/>
            <w:szCs w:val="22"/>
          </w:rPr>
          <w:t>Legge 296/2006</w:t>
        </w:r>
      </w:hyperlink>
      <w:r>
        <w:rPr>
          <w:rFonts w:cs="Arial"/>
          <w:szCs w:val="22"/>
        </w:rPr>
        <w:t xml:space="preserve"> rispetto a valore medio del triennio 2011/2013</w:t>
      </w:r>
      <w:r w:rsidR="003768DE">
        <w:rPr>
          <w:rFonts w:cs="Arial"/>
          <w:szCs w:val="22"/>
        </w:rPr>
        <w:t>;</w:t>
      </w:r>
    </w:p>
    <w:p w:rsidR="00C30A8E" w:rsidRPr="00E52153" w:rsidRDefault="00F84CB3" w:rsidP="00E52153">
      <w:pPr>
        <w:widowControl/>
        <w:numPr>
          <w:ilvl w:val="0"/>
          <w:numId w:val="25"/>
        </w:numPr>
        <w:tabs>
          <w:tab w:val="left" w:pos="360"/>
        </w:tabs>
        <w:overflowPunct/>
        <w:autoSpaceDE/>
        <w:autoSpaceDN/>
        <w:adjustRightInd/>
        <w:spacing w:before="120" w:after="0"/>
        <w:textAlignment w:val="auto"/>
        <w:rPr>
          <w:rFonts w:cs="Arial"/>
          <w:szCs w:val="22"/>
        </w:rPr>
      </w:pPr>
      <w:r>
        <w:rPr>
          <w:rFonts w:cs="Arial"/>
          <w:szCs w:val="22"/>
        </w:rPr>
        <w:t xml:space="preserve">del limite di spesa per la contrattazione integrativa disposto dal </w:t>
      </w:r>
      <w:hyperlink r:id="rId55" w:history="1">
        <w:r>
          <w:rPr>
            <w:rStyle w:val="Collegamentoipertestuale"/>
            <w:rFonts w:cs="Arial"/>
            <w:szCs w:val="22"/>
          </w:rPr>
          <w:t>comma 236 della Legge 208/2015</w:t>
        </w:r>
      </w:hyperlink>
      <w:r w:rsidR="00E52153">
        <w:rPr>
          <w:rFonts w:cs="Arial"/>
          <w:szCs w:val="22"/>
        </w:rPr>
        <w:t>;</w:t>
      </w:r>
    </w:p>
    <w:p w:rsidR="00C30A8E" w:rsidRDefault="00C30A8E">
      <w:pPr>
        <w:pStyle w:val="Paragrafoelenco"/>
        <w:rPr>
          <w:rFonts w:cs="Arial"/>
          <w:sz w:val="20"/>
        </w:rPr>
      </w:pPr>
    </w:p>
    <w:p w:rsidR="00C30A8E" w:rsidRDefault="00F84CB3">
      <w:pPr>
        <w:pStyle w:val="BodyText21"/>
        <w:spacing w:before="120" w:after="0"/>
        <w:rPr>
          <w:rFonts w:cs="Arial"/>
          <w:b w:val="0"/>
          <w:i w:val="0"/>
          <w:sz w:val="20"/>
        </w:rPr>
      </w:pPr>
      <w:r>
        <w:rPr>
          <w:rFonts w:cs="Arial"/>
          <w:b w:val="0"/>
          <w:i w:val="0"/>
          <w:sz w:val="20"/>
        </w:rPr>
        <w:t>L’organo di revisione ha provveduto, ai sensi dell’articolo 19, punto 8, della Legge 448/2001, ad accertare che i documenti di programmazione del fabbisogno di personale siano improntati al rispetto del principio di riduzione complessiva della spesa, previsto dall’articolo 39 della Legge n. 449/1997.</w:t>
      </w:r>
    </w:p>
    <w:p w:rsidR="00240B51" w:rsidRDefault="00F84CB3" w:rsidP="00871ED5">
      <w:pPr>
        <w:pStyle w:val="BodyText21"/>
        <w:spacing w:before="120" w:after="0"/>
        <w:rPr>
          <w:rFonts w:cs="Arial"/>
          <w:b w:val="0"/>
          <w:i w:val="0"/>
          <w:sz w:val="20"/>
        </w:rPr>
      </w:pPr>
      <w:r>
        <w:rPr>
          <w:rFonts w:cs="Arial"/>
          <w:b w:val="0"/>
          <w:i w:val="0"/>
          <w:sz w:val="20"/>
        </w:rPr>
        <w:t>Gli oneri della contrattazione decentrata impegnati nell’anno 2016, non superano il corrispondente importo impegnato per l’anno 2015 e sono automaticamente ridotti in misura proporzionale alla riduzione del personale in servizio, come disposto dall’art.9 del D.L. 78/2010.</w:t>
      </w:r>
    </w:p>
    <w:p w:rsidR="00871ED5" w:rsidRPr="00871ED5" w:rsidRDefault="00871ED5" w:rsidP="00871ED5">
      <w:pPr>
        <w:pStyle w:val="BodyText21"/>
        <w:spacing w:before="120" w:after="0"/>
        <w:rPr>
          <w:rFonts w:cs="Arial"/>
          <w:b w:val="0"/>
          <w:i w:val="0"/>
          <w:sz w:val="20"/>
        </w:rPr>
      </w:pPr>
    </w:p>
    <w:p w:rsidR="00C30A8E" w:rsidRDefault="00F84CB3">
      <w:pPr>
        <w:pStyle w:val="Corpodeltesto3"/>
        <w:rPr>
          <w:rFonts w:cs="Arial"/>
        </w:rPr>
      </w:pPr>
      <w:r>
        <w:rPr>
          <w:rFonts w:cs="Arial"/>
        </w:rPr>
        <w:t>La spesa di personale sostenuta nell’anno 2016 rientra nei limiti di cui all’art.1, comma 557 e 557 quater della Legge 296/2006.</w:t>
      </w:r>
    </w:p>
    <w:p w:rsidR="00C30A8E" w:rsidRPr="00240B51" w:rsidRDefault="00F84CB3" w:rsidP="00B43774">
      <w:pPr>
        <w:widowControl/>
        <w:overflowPunct/>
        <w:autoSpaceDE/>
        <w:autoSpaceDN/>
        <w:adjustRightInd/>
        <w:spacing w:after="0"/>
        <w:jc w:val="left"/>
        <w:textAlignment w:val="auto"/>
        <w:rPr>
          <w:rFonts w:cs="Arial"/>
          <w:bCs/>
          <w:iCs/>
          <w:sz w:val="20"/>
        </w:rPr>
      </w:pPr>
      <w:r>
        <w:rPr>
          <w:rFonts w:cs="Arial"/>
          <w:bCs/>
          <w:iCs/>
          <w:sz w:val="20"/>
        </w:rPr>
        <w:t xml:space="preserve">Ai sensi dell’articolo 91 del TUEL e dell’articolo 35, comma 4, del D.Lgs. n. 165/2001 l’organo di revisione ha </w:t>
      </w:r>
      <w:r w:rsidRPr="006F4BE3">
        <w:rPr>
          <w:rFonts w:cs="Arial"/>
          <w:bCs/>
          <w:iCs/>
          <w:sz w:val="20"/>
        </w:rPr>
        <w:t>espresso parere  sul documento di programmazione triennale delle spese per il personale verificando la finalizzazione dello stesso</w:t>
      </w:r>
      <w:r>
        <w:rPr>
          <w:rFonts w:cs="Arial"/>
          <w:bCs/>
          <w:iCs/>
          <w:sz w:val="20"/>
        </w:rPr>
        <w:t xml:space="preserve"> alla ri</w:t>
      </w:r>
      <w:r w:rsidR="00240B51">
        <w:rPr>
          <w:rFonts w:cs="Arial"/>
          <w:bCs/>
          <w:iCs/>
          <w:sz w:val="20"/>
        </w:rPr>
        <w:t>duzione programmata delle spese</w:t>
      </w:r>
      <w:r>
        <w:rPr>
          <w:rFonts w:cs="Arial"/>
          <w:bCs/>
          <w:iCs/>
          <w:sz w:val="20"/>
        </w:rPr>
        <w:t>.</w:t>
      </w:r>
    </w:p>
    <w:p w:rsidR="00C30A8E" w:rsidRDefault="00C30A8E">
      <w:pPr>
        <w:spacing w:after="0"/>
        <w:rPr>
          <w:rFonts w:cs="Arial"/>
          <w:b/>
          <w:i/>
          <w:color w:val="365F91"/>
          <w:sz w:val="18"/>
          <w:szCs w:val="18"/>
        </w:rPr>
      </w:pPr>
    </w:p>
    <w:p w:rsidR="00C30A8E" w:rsidRDefault="00F84CB3">
      <w:pPr>
        <w:rPr>
          <w:rFonts w:cs="Arial"/>
          <w:sz w:val="20"/>
        </w:rPr>
      </w:pPr>
      <w:r>
        <w:rPr>
          <w:rFonts w:cs="Arial"/>
          <w:sz w:val="20"/>
        </w:rPr>
        <w:t xml:space="preserve">L'organo di revisione ha accertato che gli istituti contrattuali previsti dall'accordo decentrato sono improntati ai criteri di premialità, riconoscimento del merito e della valorizzazione dell'impegno e della qualità della prestazione individuale del personale nel raggiungimento degli obiettivi programmati dall'ente come disposto dall'art. 40 bis del D.Lgs. 165/2001 e che le risorse previste dall'accordo medesimo sono compatibili con la programmazione finanziaria del comune, con i vincoli di bilancio ed il rispetto del patto di stabilità. </w:t>
      </w:r>
    </w:p>
    <w:p w:rsidR="00C30A8E" w:rsidRDefault="00F84CB3">
      <w:pPr>
        <w:rPr>
          <w:rFonts w:cs="Arial"/>
          <w:sz w:val="20"/>
        </w:rPr>
      </w:pPr>
      <w:r>
        <w:rPr>
          <w:rFonts w:cs="Arial"/>
          <w:sz w:val="20"/>
        </w:rPr>
        <w:t>L’organo di revisione ha accertato che le risorse variabili di cui all’art. 15, c. 5, del CCNL 1999, sono state destinate per l’attivazione di nuovi servizi e/o all’incremento dei servizi esistenti.</w:t>
      </w:r>
    </w:p>
    <w:p w:rsidR="00C30A8E" w:rsidRDefault="00F84CB3">
      <w:pPr>
        <w:rPr>
          <w:rFonts w:cs="Arial"/>
          <w:sz w:val="20"/>
        </w:rPr>
      </w:pPr>
      <w:r>
        <w:rPr>
          <w:rFonts w:cs="Arial"/>
          <w:sz w:val="20"/>
        </w:rPr>
        <w:t>L’organo di revisione richiede che gli obiettivi siano definiti prima dell’inizio dell’esercizio ed in coerenza con quelli di bilancio ed il loro conseguimento costituisca condizione per l’erogazione degli incentivi previsti dalla contrattazione integrativa (art. 5 comma 1 del D.Lgs. 150/2009).</w:t>
      </w:r>
    </w:p>
    <w:p w:rsidR="00C30A8E" w:rsidRDefault="00C30A8E">
      <w:pPr>
        <w:pStyle w:val="TB"/>
        <w:rPr>
          <w:b/>
          <w:i/>
          <w:sz w:val="24"/>
          <w:szCs w:val="24"/>
          <w:u w:val="single"/>
        </w:rPr>
      </w:pPr>
    </w:p>
    <w:p w:rsidR="00C30A8E" w:rsidRDefault="00F84CB3">
      <w:pPr>
        <w:pStyle w:val="TB"/>
        <w:rPr>
          <w:b/>
          <w:i/>
          <w:sz w:val="24"/>
          <w:szCs w:val="24"/>
          <w:u w:val="single"/>
        </w:rPr>
      </w:pPr>
      <w:r>
        <w:rPr>
          <w:b/>
          <w:i/>
          <w:sz w:val="24"/>
          <w:szCs w:val="24"/>
          <w:u w:val="single"/>
        </w:rPr>
        <w:t>Spese per incarichi di collaborazione autonoma</w:t>
      </w:r>
    </w:p>
    <w:p w:rsidR="00C30A8E" w:rsidRDefault="00C30A8E">
      <w:pPr>
        <w:pStyle w:val="TB"/>
        <w:rPr>
          <w:sz w:val="20"/>
          <w:szCs w:val="20"/>
        </w:rPr>
      </w:pPr>
    </w:p>
    <w:p w:rsidR="00C30A8E" w:rsidRDefault="00F84CB3">
      <w:pPr>
        <w:pStyle w:val="TB"/>
        <w:rPr>
          <w:sz w:val="20"/>
          <w:szCs w:val="20"/>
        </w:rPr>
      </w:pPr>
      <w:r>
        <w:rPr>
          <w:sz w:val="20"/>
          <w:szCs w:val="20"/>
        </w:rPr>
        <w:t>L’ente ha rispettato il limite massimo per incarichi di collaborazione autonoma stabilito dall’art. 14 del D.L. n. 66/2014 non avendo superato le seguenti percentuali della spesa di personale risultante dal conto annuale del 2012:</w:t>
      </w:r>
    </w:p>
    <w:p w:rsidR="00C30A8E" w:rsidRDefault="00F84CB3">
      <w:pPr>
        <w:pStyle w:val="TB"/>
        <w:rPr>
          <w:sz w:val="20"/>
          <w:szCs w:val="20"/>
        </w:rPr>
      </w:pPr>
      <w:r>
        <w:rPr>
          <w:sz w:val="20"/>
          <w:szCs w:val="20"/>
        </w:rPr>
        <w:t>- 4,5% con spesa di personale pari o inferiore a 5 milioni di euro;</w:t>
      </w:r>
    </w:p>
    <w:p w:rsidR="00C30A8E" w:rsidRDefault="00F84CB3">
      <w:pPr>
        <w:pStyle w:val="TB"/>
        <w:rPr>
          <w:sz w:val="20"/>
          <w:szCs w:val="20"/>
        </w:rPr>
      </w:pPr>
      <w:r>
        <w:rPr>
          <w:sz w:val="20"/>
          <w:szCs w:val="20"/>
        </w:rPr>
        <w:t xml:space="preserve">- 1,1% con spesa di personale superiore a 5 milioni di euro. </w:t>
      </w:r>
    </w:p>
    <w:p w:rsidR="00C30A8E" w:rsidRDefault="00C30A8E"/>
    <w:p w:rsidR="00C30A8E" w:rsidRDefault="00F84CB3">
      <w:pPr>
        <w:pStyle w:val="Titolo3"/>
      </w:pPr>
      <w:r>
        <w:t>Spese per acquisto beni, prestazione di servizi e utilizzo di beni di terzi</w:t>
      </w:r>
    </w:p>
    <w:p w:rsidR="00C30A8E" w:rsidRDefault="00F84CB3" w:rsidP="00240B51">
      <w:pPr>
        <w:pStyle w:val="Corpodeltesto3"/>
        <w:spacing w:before="120"/>
        <w:rPr>
          <w:rFonts w:cs="Arial"/>
        </w:rPr>
      </w:pPr>
      <w:r>
        <w:rPr>
          <w:rFonts w:cs="Arial"/>
        </w:rPr>
        <w:t>In relazione ai vincoli di finanza pubblica, dal piano triennale di contenimento delle spese di cui all’art. 2, commi da 594 a 599 della Legge 244/2007, delle riduzioni di spesa disposte dall’art. 6 del D.L. 78/2010, di quelle dell’art. 1, comma 146 della Legge 24/12/2012 n. 228 e delle riduzioni di spesa disposte dai commi da 8 a 13 dell’art.47 della legge 66/2014</w:t>
      </w:r>
      <w:r w:rsidR="00240B51">
        <w:rPr>
          <w:rFonts w:cs="Arial"/>
        </w:rPr>
        <w:t>, l</w:t>
      </w:r>
      <w:r>
        <w:rPr>
          <w:rFonts w:cs="Arial"/>
        </w:rPr>
        <w:t>e spese impegnate per studi e consulenze rispettano il limite stabilito dall’art. 14 del d.l.66/2014, non superando le seguenti percentuali della spesa di personale risultante dal conto annuale del 2013:</w:t>
      </w:r>
    </w:p>
    <w:p w:rsidR="00C30A8E" w:rsidRDefault="00F84CB3">
      <w:pPr>
        <w:rPr>
          <w:rFonts w:cs="Arial"/>
          <w:sz w:val="20"/>
        </w:rPr>
      </w:pPr>
      <w:r>
        <w:rPr>
          <w:rFonts w:cs="Arial"/>
          <w:sz w:val="20"/>
        </w:rPr>
        <w:t>4,2% con spesa di personale pari o inferiore a 5 milioni di euro;</w:t>
      </w:r>
    </w:p>
    <w:p w:rsidR="00C30A8E" w:rsidRDefault="00F84CB3">
      <w:pPr>
        <w:rPr>
          <w:rFonts w:cs="Arial"/>
          <w:sz w:val="20"/>
        </w:rPr>
      </w:pPr>
      <w:r>
        <w:rPr>
          <w:rFonts w:cs="Arial"/>
          <w:sz w:val="20"/>
        </w:rPr>
        <w:t xml:space="preserve">1,4% con spesa di personale superiore a 5 milioni di euro. </w:t>
      </w:r>
    </w:p>
    <w:p w:rsidR="00C30A8E" w:rsidRDefault="00C30A8E">
      <w:pPr>
        <w:rPr>
          <w:rFonts w:cs="Arial"/>
          <w:b/>
          <w:sz w:val="20"/>
        </w:rPr>
      </w:pPr>
    </w:p>
    <w:p w:rsidR="00C30A8E" w:rsidRDefault="00F84CB3">
      <w:pPr>
        <w:rPr>
          <w:rFonts w:cs="Arial"/>
          <w:b/>
          <w:sz w:val="20"/>
        </w:rPr>
      </w:pPr>
      <w:r>
        <w:rPr>
          <w:rFonts w:cs="Arial"/>
          <w:b/>
          <w:sz w:val="20"/>
        </w:rPr>
        <w:t>Spese di rappresentanza</w:t>
      </w:r>
    </w:p>
    <w:p w:rsidR="00C30A8E" w:rsidRDefault="00F84CB3">
      <w:pPr>
        <w:rPr>
          <w:rFonts w:cs="Arial"/>
          <w:sz w:val="20"/>
        </w:rPr>
      </w:pPr>
      <w:r>
        <w:rPr>
          <w:rFonts w:cs="Arial"/>
          <w:sz w:val="20"/>
        </w:rPr>
        <w:t>Le spese di rappresentanza sostenute nel 2016 ammontano ad euro</w:t>
      </w:r>
      <w:r w:rsidR="00631761">
        <w:rPr>
          <w:rFonts w:cs="Arial"/>
          <w:sz w:val="20"/>
        </w:rPr>
        <w:t xml:space="preserve"> 0,00</w:t>
      </w:r>
      <w:r>
        <w:rPr>
          <w:rFonts w:cs="Arial"/>
          <w:sz w:val="20"/>
        </w:rPr>
        <w:t xml:space="preserve"> come da prospetto allegato al rendiconto.</w:t>
      </w:r>
    </w:p>
    <w:p w:rsidR="00C30A8E" w:rsidRDefault="00C30A8E">
      <w:pPr>
        <w:pStyle w:val="TB"/>
        <w:rPr>
          <w:rFonts w:cs="Verdana"/>
          <w:color w:val="4F81BD" w:themeColor="accent1"/>
          <w:sz w:val="20"/>
          <w:szCs w:val="20"/>
        </w:rPr>
      </w:pPr>
    </w:p>
    <w:p w:rsidR="00C30A8E" w:rsidRDefault="00F84CB3">
      <w:pPr>
        <w:pStyle w:val="Sottotitolo"/>
        <w:jc w:val="left"/>
        <w:rPr>
          <w:rFonts w:ascii="Arial" w:hAnsi="Arial" w:cs="Arial"/>
          <w:b/>
          <w:sz w:val="22"/>
          <w:szCs w:val="22"/>
        </w:rPr>
      </w:pPr>
      <w:r>
        <w:rPr>
          <w:rFonts w:ascii="Arial" w:hAnsi="Arial" w:cs="Arial"/>
          <w:b/>
          <w:sz w:val="22"/>
          <w:szCs w:val="22"/>
        </w:rPr>
        <w:t>Spese per autovetture (art.5 comma 2 d.l. 95/2012)</w:t>
      </w:r>
    </w:p>
    <w:p w:rsidR="00C30A8E" w:rsidRDefault="00F84CB3">
      <w:pPr>
        <w:pStyle w:val="Corpodeltesto3"/>
        <w:spacing w:before="120"/>
        <w:rPr>
          <w:rFonts w:cs="Arial"/>
          <w:b/>
          <w:i/>
          <w:color w:val="0000FF"/>
          <w:u w:val="single"/>
        </w:rPr>
      </w:pPr>
      <w:r>
        <w:rPr>
          <w:rFonts w:cs="Arial"/>
          <w:color w:val="000000"/>
        </w:rPr>
        <w:t>L’ente ha rispettato il limite disposto dall’art. 5, comma 2 del d.l. 95/2012, non superando per l'acquisto, la manutenzione, il noleggio e l'esercizio di autovetture, nonché per l'acquisto di buoni taxi il 30 per cento della spesa sostenuta nell'anno 2011. Restano escluse dalla limitazione la spesa per autovetture utilizzate per i servizi istituzionali di tutela dell'ordine e della sicurezza pubblica, per i servizi sociali e sanitari svolti per garantire i livelli essenziali di assistenza.</w:t>
      </w:r>
    </w:p>
    <w:p w:rsidR="00C30A8E" w:rsidRDefault="00C30A8E">
      <w:pPr>
        <w:pStyle w:val="Sottotitolo"/>
        <w:jc w:val="left"/>
        <w:rPr>
          <w:rFonts w:ascii="Arial" w:hAnsi="Arial" w:cs="Arial"/>
          <w:b/>
          <w:sz w:val="22"/>
          <w:szCs w:val="22"/>
        </w:rPr>
      </w:pPr>
    </w:p>
    <w:p w:rsidR="00B43774" w:rsidRDefault="00F84CB3" w:rsidP="00B43774">
      <w:pPr>
        <w:pStyle w:val="Sottotitolo"/>
        <w:jc w:val="left"/>
        <w:rPr>
          <w:rFonts w:ascii="Arial" w:hAnsi="Arial" w:cs="Arial"/>
          <w:b/>
          <w:sz w:val="22"/>
          <w:szCs w:val="22"/>
        </w:rPr>
      </w:pPr>
      <w:r>
        <w:rPr>
          <w:rFonts w:ascii="Arial" w:hAnsi="Arial" w:cs="Arial"/>
          <w:b/>
          <w:sz w:val="22"/>
          <w:szCs w:val="22"/>
        </w:rPr>
        <w:t xml:space="preserve">Limitazione incarichi in materia informatica </w:t>
      </w:r>
    </w:p>
    <w:p w:rsidR="00C30A8E" w:rsidRDefault="00F84CB3" w:rsidP="00B43774">
      <w:pPr>
        <w:pStyle w:val="Sottotitolo"/>
        <w:jc w:val="left"/>
        <w:rPr>
          <w:rFonts w:ascii="Arial" w:hAnsi="Arial" w:cs="Arial"/>
          <w:sz w:val="22"/>
          <w:szCs w:val="22"/>
        </w:rPr>
      </w:pPr>
      <w:r>
        <w:rPr>
          <w:rFonts w:ascii="Arial" w:hAnsi="Arial" w:cs="Arial"/>
          <w:sz w:val="20"/>
          <w:szCs w:val="20"/>
        </w:rPr>
        <w:t>La spesa impegnata rientra nei casi eccezionali di cui ai comma 146 e 147 dell’art.1 della legge 228/2012.</w:t>
      </w:r>
      <w:r w:rsidR="00240B51">
        <w:rPr>
          <w:rFonts w:ascii="Arial" w:hAnsi="Arial" w:cs="Arial"/>
          <w:sz w:val="20"/>
          <w:szCs w:val="20"/>
        </w:rPr>
        <w:t xml:space="preserve"> </w:t>
      </w:r>
      <w:r w:rsidRPr="00240B51">
        <w:rPr>
          <w:rFonts w:ascii="Arial" w:hAnsi="Arial" w:cs="Arial"/>
          <w:sz w:val="20"/>
          <w:szCs w:val="20"/>
        </w:rPr>
        <w:t>L’ente ha rispettato le disposizione dell’art.9 del D.l. 66/2014 in tema di razionalizzazione della spesa per acquisto di beni e servizi.</w:t>
      </w:r>
      <w:r w:rsidR="00B43774" w:rsidRPr="00B43774">
        <w:rPr>
          <w:rFonts w:ascii="Arial" w:hAnsi="Arial" w:cs="Arial"/>
          <w:sz w:val="22"/>
          <w:szCs w:val="22"/>
        </w:rPr>
        <w:t xml:space="preserve"> </w:t>
      </w:r>
      <w:r w:rsidR="00B43774">
        <w:rPr>
          <w:rFonts w:ascii="Arial" w:hAnsi="Arial" w:cs="Arial"/>
          <w:sz w:val="22"/>
          <w:szCs w:val="22"/>
        </w:rPr>
        <w:t>(legge n.228 del 24/12/2012, art.1 commi 146 e 147)</w:t>
      </w:r>
    </w:p>
    <w:p w:rsidR="00B43774" w:rsidRDefault="00B43774" w:rsidP="00B43774"/>
    <w:p w:rsidR="009E0675" w:rsidRDefault="009E0675" w:rsidP="00B43774"/>
    <w:p w:rsidR="009E0675" w:rsidRDefault="009E0675" w:rsidP="00B43774"/>
    <w:p w:rsidR="009E0675" w:rsidRDefault="009E0675" w:rsidP="00B43774"/>
    <w:p w:rsidR="009E0675" w:rsidRDefault="009E0675" w:rsidP="00B43774"/>
    <w:p w:rsidR="009E0675" w:rsidRDefault="009E0675" w:rsidP="00B43774"/>
    <w:p w:rsidR="009E0675" w:rsidRDefault="009E0675" w:rsidP="00B43774"/>
    <w:p w:rsidR="009E0675" w:rsidRDefault="009E0675" w:rsidP="00B43774"/>
    <w:p w:rsidR="00D764A6" w:rsidRDefault="00D764A6" w:rsidP="00B43774">
      <w:bookmarkStart w:id="41" w:name="_GoBack"/>
      <w:bookmarkEnd w:id="41"/>
    </w:p>
    <w:p w:rsidR="00E52153" w:rsidRDefault="00E52153" w:rsidP="00B43774"/>
    <w:p w:rsidR="00E52153" w:rsidRPr="00B43774" w:rsidRDefault="00E52153" w:rsidP="00B43774"/>
    <w:p w:rsidR="00C30A8E" w:rsidRDefault="00F84CB3" w:rsidP="00B02F00">
      <w:pPr>
        <w:pStyle w:val="Titolo2"/>
      </w:pPr>
      <w:bookmarkStart w:id="42" w:name="_Toc379377469"/>
      <w:r>
        <w:t>Spese in conto capitale</w:t>
      </w:r>
      <w:bookmarkEnd w:id="42"/>
    </w:p>
    <w:p w:rsidR="00B43774" w:rsidRPr="00B43774" w:rsidRDefault="00B43774" w:rsidP="00B43774"/>
    <w:p w:rsidR="00C30A8E" w:rsidRDefault="00F84CB3">
      <w:pPr>
        <w:pStyle w:val="Titolo3"/>
        <w:rPr>
          <w:rStyle w:val="Enfasigrassetto"/>
          <w:b/>
          <w:bCs w:val="0"/>
          <w:szCs w:val="22"/>
        </w:rPr>
      </w:pPr>
      <w:r>
        <w:rPr>
          <w:rStyle w:val="Enfasigrassetto"/>
          <w:b/>
          <w:bCs w:val="0"/>
          <w:szCs w:val="22"/>
        </w:rPr>
        <w:t>Limitazione acquisto immobili</w:t>
      </w:r>
    </w:p>
    <w:p w:rsidR="00C30A8E" w:rsidRDefault="00F84CB3">
      <w:pPr>
        <w:rPr>
          <w:rFonts w:cs="Arial"/>
          <w:sz w:val="20"/>
        </w:rPr>
      </w:pPr>
      <w:r>
        <w:rPr>
          <w:rFonts w:cs="Arial"/>
          <w:sz w:val="20"/>
        </w:rPr>
        <w:t>La spesa impegnata per acquisto immobili rientra nei limiti disposti dall’art.1, comma 138 della Legge 24/12/2012 n.228.</w:t>
      </w:r>
    </w:p>
    <w:p w:rsidR="00C30A8E" w:rsidRDefault="00C30A8E">
      <w:pPr>
        <w:widowControl/>
        <w:overflowPunct/>
        <w:autoSpaceDE/>
        <w:autoSpaceDN/>
        <w:adjustRightInd/>
        <w:spacing w:after="0"/>
        <w:jc w:val="left"/>
        <w:textAlignment w:val="auto"/>
        <w:rPr>
          <w:rFonts w:cs="Arial"/>
          <w:color w:val="0000FF"/>
          <w:sz w:val="20"/>
        </w:rPr>
      </w:pPr>
    </w:p>
    <w:p w:rsidR="00C30A8E" w:rsidRDefault="00F84CB3">
      <w:pPr>
        <w:pStyle w:val="Titolo3"/>
      </w:pPr>
      <w:r>
        <w:t>Limitazione acquisto mobili e arredi</w:t>
      </w:r>
    </w:p>
    <w:p w:rsidR="00C30A8E" w:rsidRDefault="00F84CB3" w:rsidP="00A642E8">
      <w:pPr>
        <w:pStyle w:val="NormaleWeb"/>
        <w:jc w:val="both"/>
        <w:rPr>
          <w:rFonts w:ascii="Arial" w:hAnsi="Arial" w:cs="Arial"/>
          <w:sz w:val="20"/>
          <w:szCs w:val="20"/>
        </w:rPr>
      </w:pPr>
      <w:r>
        <w:rPr>
          <w:rFonts w:ascii="Arial" w:hAnsi="Arial" w:cs="Arial"/>
          <w:sz w:val="20"/>
          <w:szCs w:val="20"/>
        </w:rPr>
        <w:t>La spesa impegnata nell’anno 2016 per acquisto mobili e arredi rientra nei limiti disposti dall’art.1, comma 141 della Legge 24/12/2012 n.228.</w:t>
      </w:r>
    </w:p>
    <w:p w:rsidR="006F4BE3" w:rsidRDefault="006F4BE3" w:rsidP="00A642E8">
      <w:pPr>
        <w:pStyle w:val="NormaleWeb"/>
        <w:jc w:val="both"/>
        <w:rPr>
          <w:rFonts w:ascii="Arial" w:hAnsi="Arial" w:cs="Arial"/>
          <w:sz w:val="20"/>
          <w:szCs w:val="20"/>
        </w:rPr>
      </w:pPr>
    </w:p>
    <w:p w:rsidR="00C30A8E" w:rsidRDefault="00F84CB3">
      <w:pPr>
        <w:pStyle w:val="Titolo2"/>
        <w:pBdr>
          <w:top w:val="single" w:sz="4" w:space="1" w:color="auto"/>
          <w:left w:val="single" w:sz="4" w:space="4" w:color="auto"/>
          <w:bottom w:val="single" w:sz="4" w:space="1" w:color="auto"/>
          <w:right w:val="single" w:sz="4" w:space="4" w:color="auto"/>
        </w:pBdr>
        <w:shd w:val="clear" w:color="auto" w:fill="D6E3BC" w:themeFill="accent3" w:themeFillTint="66"/>
        <w:jc w:val="center"/>
        <w:rPr>
          <w:i/>
          <w:sz w:val="28"/>
          <w:szCs w:val="28"/>
          <w:u w:val="none"/>
        </w:rPr>
      </w:pPr>
      <w:bookmarkStart w:id="43" w:name="_Toc379377471"/>
      <w:r>
        <w:rPr>
          <w:i/>
          <w:sz w:val="28"/>
          <w:szCs w:val="28"/>
          <w:u w:val="none"/>
        </w:rPr>
        <w:t>ANALISI INDEBITAMENTO E GESTIONE DEL DEBITO</w:t>
      </w:r>
      <w:bookmarkEnd w:id="43"/>
    </w:p>
    <w:p w:rsidR="00C30A8E" w:rsidRDefault="00F84CB3" w:rsidP="006C1648">
      <w:pPr>
        <w:numPr>
          <w:ilvl w:val="12"/>
          <w:numId w:val="0"/>
        </w:numPr>
        <w:spacing w:before="120"/>
        <w:rPr>
          <w:rFonts w:cs="Arial"/>
          <w:sz w:val="20"/>
        </w:rPr>
      </w:pPr>
      <w:r>
        <w:rPr>
          <w:rFonts w:cs="Arial"/>
          <w:sz w:val="20"/>
        </w:rPr>
        <w:t>L’Ente ha rispettato il limite di indebitamento disposto dall’art. 204 del TUEL</w:t>
      </w:r>
      <w:r w:rsidR="006C1648">
        <w:rPr>
          <w:rFonts w:cs="Arial"/>
          <w:sz w:val="20"/>
        </w:rPr>
        <w:t>.</w:t>
      </w:r>
      <w:r>
        <w:rPr>
          <w:rFonts w:cs="Arial"/>
          <w:sz w:val="20"/>
        </w:rPr>
        <w:t xml:space="preserve"> </w:t>
      </w:r>
    </w:p>
    <w:p w:rsidR="00C30A8E" w:rsidRDefault="00F84CB3">
      <w:pPr>
        <w:spacing w:before="240" w:after="240"/>
        <w:rPr>
          <w:rFonts w:cs="Arial"/>
          <w:sz w:val="20"/>
        </w:rPr>
      </w:pPr>
      <w:r>
        <w:rPr>
          <w:rFonts w:cs="Arial"/>
          <w:sz w:val="20"/>
        </w:rPr>
        <w:t>L’indebitamento dell’ente ha avuto la seguente evoluzione:</w:t>
      </w:r>
    </w:p>
    <w:bookmarkStart w:id="44" w:name="_MON_1486995094"/>
    <w:bookmarkEnd w:id="44"/>
    <w:p w:rsidR="00C30A8E" w:rsidRDefault="00630248">
      <w:pPr>
        <w:spacing w:before="240" w:after="240"/>
        <w:rPr>
          <w:rFonts w:cs="Arial"/>
          <w:sz w:val="20"/>
        </w:rPr>
      </w:pPr>
      <w:r>
        <w:rPr>
          <w:rFonts w:cs="Arial"/>
          <w:sz w:val="20"/>
        </w:rPr>
        <w:object w:dxaOrig="9332" w:dyaOrig="3801">
          <v:shape id="_x0000_i1044" type="#_x0000_t75" style="width:468pt;height:194.4pt" o:ole="">
            <v:imagedata r:id="rId56" o:title=""/>
          </v:shape>
          <o:OLEObject Type="Embed" ProgID="Excel.Sheet.12" ShapeID="_x0000_i1044" DrawAspect="Content" ObjectID="_1556368316" r:id="rId57"/>
        </w:object>
      </w:r>
    </w:p>
    <w:p w:rsidR="00C30A8E" w:rsidRDefault="00F84CB3">
      <w:pPr>
        <w:rPr>
          <w:rFonts w:cs="Arial"/>
          <w:sz w:val="20"/>
        </w:rPr>
      </w:pPr>
      <w:r>
        <w:rPr>
          <w:rFonts w:cs="Arial"/>
          <w:sz w:val="20"/>
        </w:rPr>
        <w:t>Gli oneri finanziari per ammortamento prestiti ed il rimborso degli stessi in conto capitale registra la seguente evoluzione:</w:t>
      </w:r>
    </w:p>
    <w:p w:rsidR="00C30A8E" w:rsidRDefault="00C30A8E">
      <w:pPr>
        <w:rPr>
          <w:rFonts w:cs="Arial"/>
          <w:sz w:val="20"/>
        </w:rPr>
      </w:pPr>
    </w:p>
    <w:bookmarkStart w:id="45" w:name="_MON_1486995152"/>
    <w:bookmarkEnd w:id="45"/>
    <w:p w:rsidR="00C30A8E" w:rsidRDefault="007B2561">
      <w:pPr>
        <w:rPr>
          <w:rFonts w:cs="Arial"/>
          <w:sz w:val="20"/>
        </w:rPr>
      </w:pPr>
      <w:r>
        <w:rPr>
          <w:rFonts w:cs="Arial"/>
          <w:sz w:val="20"/>
        </w:rPr>
        <w:object w:dxaOrig="9610" w:dyaOrig="1765">
          <v:shape id="_x0000_i1045" type="#_x0000_t75" style="width:482.4pt;height:86.4pt" o:ole="">
            <v:imagedata r:id="rId58" o:title=""/>
          </v:shape>
          <o:OLEObject Type="Embed" ProgID="Excel.Sheet.12" ShapeID="_x0000_i1045" DrawAspect="Content" ObjectID="_1556368317" r:id="rId59"/>
        </w:object>
      </w:r>
    </w:p>
    <w:p w:rsidR="00C30A8E" w:rsidRDefault="00C30A8E">
      <w:pPr>
        <w:rPr>
          <w:rFonts w:cs="Arial"/>
          <w:sz w:val="20"/>
        </w:rPr>
      </w:pPr>
    </w:p>
    <w:p w:rsidR="00C30A8E" w:rsidRDefault="00F84CB3">
      <w:pPr>
        <w:pStyle w:val="Titolo2"/>
      </w:pPr>
      <w:bookmarkStart w:id="46" w:name="_Toc379377474"/>
      <w:r>
        <w:t>Contratti di leasing</w:t>
      </w:r>
      <w:bookmarkEnd w:id="46"/>
    </w:p>
    <w:p w:rsidR="00C30A8E" w:rsidRDefault="003768DE">
      <w:pPr>
        <w:rPr>
          <w:rFonts w:cs="Arial"/>
          <w:sz w:val="20"/>
        </w:rPr>
      </w:pPr>
      <w:r>
        <w:rPr>
          <w:rFonts w:cs="Arial"/>
          <w:sz w:val="20"/>
        </w:rPr>
        <w:t xml:space="preserve">Al 31/12/2016, L’ente non ha </w:t>
      </w:r>
      <w:r w:rsidR="00F84CB3">
        <w:rPr>
          <w:rFonts w:cs="Arial"/>
          <w:sz w:val="20"/>
        </w:rPr>
        <w:t>con</w:t>
      </w:r>
      <w:r w:rsidR="00E52153">
        <w:rPr>
          <w:rFonts w:cs="Arial"/>
          <w:sz w:val="20"/>
        </w:rPr>
        <w:t>tratti di locazione finanziaria.</w:t>
      </w:r>
    </w:p>
    <w:p w:rsidR="00C30A8E" w:rsidRDefault="00F84CB3">
      <w:pPr>
        <w:pStyle w:val="Titolo1"/>
        <w:shd w:val="clear" w:color="auto" w:fill="D6E3BC" w:themeFill="accent3" w:themeFillTint="66"/>
      </w:pPr>
      <w:bookmarkStart w:id="47" w:name="_Toc379377475"/>
      <w:r>
        <w:t>ANALISI DELLA GESTIONE DEI RESIDUI</w:t>
      </w:r>
      <w:bookmarkEnd w:id="47"/>
      <w:r>
        <w:t xml:space="preserve"> </w:t>
      </w:r>
    </w:p>
    <w:p w:rsidR="00C30A8E" w:rsidRDefault="00F84CB3">
      <w:pPr>
        <w:numPr>
          <w:ilvl w:val="12"/>
          <w:numId w:val="0"/>
        </w:numPr>
        <w:rPr>
          <w:rFonts w:cs="Arial"/>
          <w:sz w:val="20"/>
        </w:rPr>
      </w:pPr>
      <w:r>
        <w:rPr>
          <w:rFonts w:cs="Arial"/>
          <w:sz w:val="20"/>
        </w:rPr>
        <w:t>L’organo di revisione ha verificato il rispetto dei principi e dei criteri di determinazione dei residui attivi e passivi disposti dagli articoli 179, 182, 189 e 190 del TUEL.</w:t>
      </w:r>
    </w:p>
    <w:p w:rsidR="00C30A8E" w:rsidRDefault="00C30A8E">
      <w:pPr>
        <w:numPr>
          <w:ilvl w:val="12"/>
          <w:numId w:val="0"/>
        </w:numPr>
        <w:rPr>
          <w:rFonts w:cs="Arial"/>
          <w:sz w:val="20"/>
        </w:rPr>
      </w:pPr>
    </w:p>
    <w:p w:rsidR="00C30A8E" w:rsidRDefault="00F84CB3">
      <w:pPr>
        <w:numPr>
          <w:ilvl w:val="12"/>
          <w:numId w:val="0"/>
        </w:numPr>
        <w:rPr>
          <w:rFonts w:cs="Arial"/>
          <w:sz w:val="20"/>
        </w:rPr>
      </w:pPr>
      <w:r>
        <w:rPr>
          <w:rFonts w:cs="Arial"/>
          <w:sz w:val="20"/>
        </w:rPr>
        <w:t xml:space="preserve">L’ente ha provveduto al riaccertamento  </w:t>
      </w:r>
      <w:r w:rsidRPr="00A0776B">
        <w:rPr>
          <w:rFonts w:cs="Arial"/>
          <w:sz w:val="20"/>
        </w:rPr>
        <w:t>ordinario dei residui attivi e passivi al 31/12/2016 come previsto dall’art. 228 del TUEL con atto G.C.</w:t>
      </w:r>
      <w:r w:rsidR="00A0776B" w:rsidRPr="00A0776B">
        <w:rPr>
          <w:rFonts w:cs="Arial"/>
          <w:sz w:val="20"/>
        </w:rPr>
        <w:t xml:space="preserve"> n. 25</w:t>
      </w:r>
      <w:r w:rsidRPr="00A0776B">
        <w:rPr>
          <w:rFonts w:cs="Arial"/>
          <w:sz w:val="20"/>
        </w:rPr>
        <w:t xml:space="preserve"> del</w:t>
      </w:r>
      <w:r w:rsidR="00A0776B" w:rsidRPr="00A0776B">
        <w:rPr>
          <w:rFonts w:cs="Arial"/>
          <w:sz w:val="20"/>
        </w:rPr>
        <w:t xml:space="preserve"> 20.03.2017 </w:t>
      </w:r>
      <w:r w:rsidRPr="00A0776B">
        <w:rPr>
          <w:rFonts w:cs="Arial"/>
          <w:sz w:val="20"/>
        </w:rPr>
        <w:t>munito del parere dell’organo di revisione.</w:t>
      </w:r>
    </w:p>
    <w:p w:rsidR="00C30A8E" w:rsidRDefault="00F84CB3">
      <w:pPr>
        <w:numPr>
          <w:ilvl w:val="12"/>
          <w:numId w:val="0"/>
        </w:numPr>
        <w:rPr>
          <w:rFonts w:cs="Arial"/>
          <w:sz w:val="20"/>
        </w:rPr>
      </w:pPr>
      <w:r>
        <w:rPr>
          <w:rFonts w:cs="Arial"/>
          <w:sz w:val="20"/>
        </w:rPr>
        <w:t>Con tale atto si è provveduto all’ eliminazione di residui attivi e passivi format</w:t>
      </w:r>
      <w:r w:rsidR="00A0776B">
        <w:rPr>
          <w:rFonts w:cs="Arial"/>
          <w:sz w:val="20"/>
        </w:rPr>
        <w:t>esi nell’anno 2015 e precedenti.</w:t>
      </w:r>
    </w:p>
    <w:p w:rsidR="00C30A8E" w:rsidRDefault="00F84CB3">
      <w:pPr>
        <w:numPr>
          <w:ilvl w:val="12"/>
          <w:numId w:val="0"/>
        </w:numPr>
        <w:rPr>
          <w:rFonts w:cs="Arial"/>
          <w:sz w:val="20"/>
        </w:rPr>
      </w:pPr>
      <w:r>
        <w:rPr>
          <w:rFonts w:cs="Arial"/>
          <w:sz w:val="20"/>
        </w:rPr>
        <w:t>I debiti formalmente riconosciuti insussistenti per l’avvenuta legale estinzione (prescrizione) o per indebito o erroneo impegno di un’obbligazione non dovuta sono stati definitivamente eliminati dalle scritture e dai documenti di bilancio attraverso il provvedimento di riaccertamento dei residui.</w:t>
      </w:r>
    </w:p>
    <w:p w:rsidR="00C30A8E" w:rsidRDefault="00C30A8E">
      <w:pPr>
        <w:numPr>
          <w:ilvl w:val="12"/>
          <w:numId w:val="0"/>
        </w:numPr>
        <w:rPr>
          <w:rFonts w:cs="Arial"/>
          <w:sz w:val="20"/>
        </w:rPr>
      </w:pPr>
      <w:bookmarkStart w:id="48" w:name="_MON_1550495253"/>
      <w:bookmarkEnd w:id="48"/>
    </w:p>
    <w:p w:rsidR="00C30A8E" w:rsidRDefault="00C30A8E">
      <w:pPr>
        <w:widowControl/>
        <w:overflowPunct/>
        <w:autoSpaceDE/>
        <w:autoSpaceDN/>
        <w:adjustRightInd/>
        <w:spacing w:after="0"/>
        <w:jc w:val="left"/>
        <w:textAlignment w:val="auto"/>
        <w:rPr>
          <w:b/>
          <w:i/>
          <w:sz w:val="28"/>
          <w:szCs w:val="28"/>
        </w:rPr>
      </w:pPr>
    </w:p>
    <w:p w:rsidR="00C77B13" w:rsidRDefault="00C77B13">
      <w:pPr>
        <w:widowControl/>
        <w:overflowPunct/>
        <w:autoSpaceDE/>
        <w:autoSpaceDN/>
        <w:adjustRightInd/>
        <w:spacing w:after="0"/>
        <w:jc w:val="left"/>
        <w:textAlignment w:val="auto"/>
        <w:rPr>
          <w:b/>
          <w:i/>
          <w:sz w:val="28"/>
          <w:szCs w:val="28"/>
        </w:rPr>
      </w:pPr>
    </w:p>
    <w:p w:rsidR="00C30A8E" w:rsidRDefault="00F84CB3">
      <w:pPr>
        <w:pStyle w:val="Titolo1"/>
        <w:shd w:val="clear" w:color="auto" w:fill="D6E3BC" w:themeFill="accent3" w:themeFillTint="66"/>
      </w:pPr>
      <w:bookmarkStart w:id="49" w:name="_Toc379377476"/>
      <w:r>
        <w:t>ANALISI E VALUTAZIONE DEI DEBITI FUORI BILANCIO</w:t>
      </w:r>
      <w:bookmarkEnd w:id="49"/>
    </w:p>
    <w:p w:rsidR="00A642E8" w:rsidRDefault="00F84CB3" w:rsidP="00A0776B">
      <w:pPr>
        <w:numPr>
          <w:ilvl w:val="12"/>
          <w:numId w:val="0"/>
        </w:numPr>
        <w:spacing w:before="240"/>
        <w:rPr>
          <w:rFonts w:cs="Arial"/>
          <w:sz w:val="20"/>
        </w:rPr>
      </w:pPr>
      <w:r>
        <w:rPr>
          <w:rFonts w:cs="Arial"/>
          <w:sz w:val="20"/>
        </w:rPr>
        <w:t xml:space="preserve">L’ente </w:t>
      </w:r>
      <w:r w:rsidR="00A0776B">
        <w:rPr>
          <w:rFonts w:cs="Arial"/>
          <w:sz w:val="20"/>
        </w:rPr>
        <w:t>non ha avuto, nel</w:t>
      </w:r>
      <w:r>
        <w:rPr>
          <w:rFonts w:cs="Arial"/>
          <w:sz w:val="20"/>
        </w:rPr>
        <w:t xml:space="preserve"> corso del 2016</w:t>
      </w:r>
      <w:r w:rsidR="00A0776B">
        <w:rPr>
          <w:rFonts w:cs="Arial"/>
          <w:sz w:val="20"/>
        </w:rPr>
        <w:t>, debiti fuori bilancio da riconoscere e da finanziare.</w:t>
      </w:r>
      <w:r>
        <w:rPr>
          <w:rFonts w:cs="Arial"/>
          <w:sz w:val="20"/>
        </w:rPr>
        <w:t xml:space="preserve"> </w:t>
      </w: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A642E8" w:rsidRDefault="00A642E8">
      <w:pPr>
        <w:widowControl/>
        <w:overflowPunct/>
        <w:autoSpaceDE/>
        <w:autoSpaceDN/>
        <w:adjustRightInd/>
        <w:spacing w:after="0"/>
        <w:jc w:val="left"/>
        <w:textAlignment w:val="auto"/>
        <w:rPr>
          <w:rFonts w:cs="Arial"/>
          <w:sz w:val="20"/>
        </w:rPr>
      </w:pPr>
    </w:p>
    <w:p w:rsidR="00C30A8E" w:rsidRDefault="00F84CB3">
      <w:pPr>
        <w:pStyle w:val="Titolo1"/>
        <w:shd w:val="clear" w:color="auto" w:fill="D6E3BC" w:themeFill="accent3" w:themeFillTint="66"/>
      </w:pPr>
      <w:bookmarkStart w:id="50" w:name="_Toc379377478"/>
      <w:r>
        <w:t>RAPPORTI CON ORGANISMI PARTECIPATI</w:t>
      </w:r>
      <w:bookmarkEnd w:id="50"/>
    </w:p>
    <w:p w:rsidR="00C30A8E" w:rsidRDefault="00C30A8E">
      <w:pPr>
        <w:widowControl/>
        <w:overflowPunct/>
        <w:autoSpaceDE/>
        <w:autoSpaceDN/>
        <w:adjustRightInd/>
        <w:spacing w:after="0"/>
        <w:jc w:val="left"/>
        <w:textAlignment w:val="auto"/>
        <w:rPr>
          <w:rFonts w:cs="Arial"/>
          <w:b/>
          <w:sz w:val="28"/>
          <w:szCs w:val="28"/>
        </w:rPr>
      </w:pPr>
    </w:p>
    <w:p w:rsidR="00C30A8E" w:rsidRDefault="00F84CB3">
      <w:pPr>
        <w:pStyle w:val="Titolo2"/>
      </w:pPr>
      <w:bookmarkStart w:id="51" w:name="_Toc379377479"/>
      <w:r>
        <w:t>Verifica rapporti di debito e credito con società partecipate</w:t>
      </w:r>
      <w:bookmarkEnd w:id="51"/>
    </w:p>
    <w:p w:rsidR="00C30A8E" w:rsidRDefault="00F84CB3">
      <w:pPr>
        <w:widowControl/>
        <w:overflowPunct/>
        <w:autoSpaceDE/>
        <w:autoSpaceDN/>
        <w:adjustRightInd/>
        <w:spacing w:after="0"/>
        <w:textAlignment w:val="auto"/>
        <w:rPr>
          <w:rFonts w:cs="Arial"/>
          <w:b/>
          <w:sz w:val="20"/>
          <w:u w:val="single"/>
        </w:rPr>
      </w:pPr>
      <w:r>
        <w:rPr>
          <w:rFonts w:cs="Arial"/>
          <w:b/>
          <w:sz w:val="20"/>
          <w:u w:val="single"/>
        </w:rPr>
        <w:t xml:space="preserve">Crediti e debiti reciproci </w:t>
      </w:r>
    </w:p>
    <w:p w:rsidR="00C30A8E" w:rsidRDefault="00F84CB3">
      <w:pPr>
        <w:widowControl/>
        <w:overflowPunct/>
        <w:autoSpaceDE/>
        <w:autoSpaceDN/>
        <w:adjustRightInd/>
        <w:spacing w:after="0"/>
        <w:textAlignment w:val="auto"/>
        <w:rPr>
          <w:rFonts w:cs="Arial"/>
          <w:sz w:val="20"/>
        </w:rPr>
      </w:pPr>
      <w:r>
        <w:rPr>
          <w:rFonts w:cs="Arial"/>
          <w:sz w:val="20"/>
        </w:rPr>
        <w:t xml:space="preserve">L’art.11,comma 6 lett.J del d.lgs.118/2011, richiede di illustrare nella relazione sulla gestione gli esiti della verifica dei crediti e debiti reciproci con i propri enti strumentali e le società controllate e partecipate. </w:t>
      </w:r>
    </w:p>
    <w:p w:rsidR="00C30A8E" w:rsidRDefault="00C30A8E">
      <w:pPr>
        <w:widowControl/>
        <w:overflowPunct/>
        <w:autoSpaceDE/>
        <w:autoSpaceDN/>
        <w:adjustRightInd/>
        <w:textAlignment w:val="auto"/>
      </w:pPr>
      <w:bookmarkStart w:id="52" w:name="_Toc379377480"/>
    </w:p>
    <w:p w:rsidR="009076DA" w:rsidRDefault="009076DA">
      <w:pPr>
        <w:widowControl/>
        <w:overflowPunct/>
        <w:autoSpaceDE/>
        <w:autoSpaceDN/>
        <w:adjustRightInd/>
        <w:textAlignment w:val="auto"/>
      </w:pPr>
      <w:r>
        <w:t>Non sono stati accertati debiti nei confronti delle società partecipate.</w:t>
      </w:r>
    </w:p>
    <w:bookmarkEnd w:id="52"/>
    <w:p w:rsidR="00C77B13" w:rsidRDefault="00C77B13">
      <w:pPr>
        <w:rPr>
          <w:rFonts w:cs="Arial"/>
          <w:sz w:val="20"/>
        </w:rPr>
      </w:pPr>
    </w:p>
    <w:p w:rsidR="00C30A8E" w:rsidRDefault="00F84CB3">
      <w:pPr>
        <w:widowControl/>
        <w:pBdr>
          <w:top w:val="single" w:sz="4" w:space="1" w:color="auto"/>
          <w:left w:val="single" w:sz="4" w:space="4" w:color="auto"/>
          <w:bottom w:val="single" w:sz="4" w:space="2" w:color="auto"/>
          <w:right w:val="single" w:sz="4" w:space="4" w:color="auto"/>
        </w:pBdr>
        <w:shd w:val="clear" w:color="auto" w:fill="D6E3BC" w:themeFill="accent3" w:themeFillTint="66"/>
        <w:overflowPunct/>
        <w:autoSpaceDE/>
        <w:autoSpaceDN/>
        <w:adjustRightInd/>
        <w:spacing w:after="0"/>
        <w:jc w:val="center"/>
        <w:textAlignment w:val="auto"/>
        <w:rPr>
          <w:b/>
          <w:i/>
          <w:sz w:val="28"/>
          <w:szCs w:val="28"/>
        </w:rPr>
      </w:pPr>
      <w:bookmarkStart w:id="53" w:name="_Toc379377481"/>
      <w:r>
        <w:rPr>
          <w:b/>
          <w:i/>
          <w:sz w:val="28"/>
          <w:szCs w:val="28"/>
        </w:rPr>
        <w:t>TEMPESTIVITA’ PAGAMENTI E COMUNICAZIONE RITARDI</w:t>
      </w:r>
      <w:bookmarkEnd w:id="53"/>
    </w:p>
    <w:p w:rsidR="00C30A8E" w:rsidRDefault="00C30A8E">
      <w:pPr>
        <w:rPr>
          <w:rFonts w:cs="Arial"/>
          <w:b/>
          <w:szCs w:val="22"/>
        </w:rPr>
      </w:pPr>
    </w:p>
    <w:p w:rsidR="00C30A8E" w:rsidRDefault="00F84CB3">
      <w:pPr>
        <w:rPr>
          <w:rFonts w:cs="Arial"/>
          <w:b/>
          <w:szCs w:val="22"/>
        </w:rPr>
      </w:pPr>
      <w:r>
        <w:rPr>
          <w:rFonts w:cs="Arial"/>
          <w:b/>
          <w:szCs w:val="22"/>
        </w:rPr>
        <w:t>Tempestività pagamenti</w:t>
      </w:r>
    </w:p>
    <w:p w:rsidR="00C30A8E" w:rsidRDefault="00F84CB3">
      <w:pPr>
        <w:widowControl/>
        <w:overflowPunct/>
        <w:autoSpaceDE/>
        <w:autoSpaceDN/>
        <w:adjustRightInd/>
        <w:spacing w:after="0"/>
        <w:jc w:val="left"/>
        <w:textAlignment w:val="auto"/>
        <w:rPr>
          <w:rFonts w:cs="Arial"/>
          <w:sz w:val="20"/>
        </w:rPr>
      </w:pPr>
      <w:r>
        <w:rPr>
          <w:rFonts w:cs="Arial"/>
          <w:sz w:val="20"/>
        </w:rPr>
        <w:t xml:space="preserve">L'indicatore annuale di tempestività dei pagamenti rilevante ai fini dell'articolo 41, comma I, del decreto-legge 24 aprile 2014, n. 66, è allegato in apposito prospetto, sottoscritto dal rappresentante legale e dal responsabile finanziario, alla relazione al rendiconto. </w:t>
      </w:r>
    </w:p>
    <w:p w:rsidR="00C30A8E" w:rsidRDefault="00C30A8E">
      <w:pPr>
        <w:widowControl/>
        <w:overflowPunct/>
        <w:autoSpaceDE/>
        <w:autoSpaceDN/>
        <w:adjustRightInd/>
        <w:spacing w:after="0"/>
        <w:textAlignment w:val="auto"/>
        <w:rPr>
          <w:rFonts w:cs="Arial"/>
          <w:sz w:val="20"/>
        </w:rPr>
      </w:pPr>
    </w:p>
    <w:p w:rsidR="00C30A8E" w:rsidRDefault="00F84CB3">
      <w:pPr>
        <w:rPr>
          <w:b/>
          <w:i/>
          <w:szCs w:val="22"/>
          <w:u w:val="single"/>
        </w:rPr>
      </w:pPr>
      <w:r>
        <w:rPr>
          <w:b/>
          <w:i/>
          <w:szCs w:val="22"/>
          <w:u w:val="single"/>
        </w:rPr>
        <w:t xml:space="preserve">Comunicazione dei dati riferiti a fatture (o richieste equivalenti di pagamento). Art. 27 Decreto legge 24/04/2014 n. 66 </w:t>
      </w:r>
    </w:p>
    <w:p w:rsidR="00C30A8E" w:rsidRPr="003768DE" w:rsidRDefault="00F84CB3" w:rsidP="003768DE">
      <w:pPr>
        <w:spacing w:line="360" w:lineRule="auto"/>
        <w:rPr>
          <w:sz w:val="20"/>
        </w:rPr>
      </w:pPr>
      <w:r>
        <w:rPr>
          <w:sz w:val="20"/>
        </w:rPr>
        <w:t>L’organo di revisione ha verificato la corretta attuazione delle procedure di cui ai commi 4 e 5 dell’art. 7bis del D.L. 35/2013.</w:t>
      </w:r>
    </w:p>
    <w:p w:rsidR="00C30A8E" w:rsidRDefault="00C30A8E">
      <w:pPr>
        <w:widowControl/>
        <w:overflowPunct/>
        <w:autoSpaceDE/>
        <w:autoSpaceDN/>
        <w:adjustRightInd/>
        <w:spacing w:after="0"/>
        <w:jc w:val="left"/>
        <w:textAlignment w:val="auto"/>
        <w:rPr>
          <w:rFonts w:cs="Arial"/>
          <w:sz w:val="20"/>
        </w:rPr>
      </w:pPr>
    </w:p>
    <w:p w:rsidR="00C30A8E" w:rsidRDefault="00F84CB3">
      <w:pPr>
        <w:pStyle w:val="Titolo1"/>
        <w:shd w:val="clear" w:color="auto" w:fill="D6E3BC" w:themeFill="accent3" w:themeFillTint="66"/>
      </w:pPr>
      <w:bookmarkStart w:id="54" w:name="_Toc379377482"/>
      <w:r>
        <w:t>PARAMETRI DI RISCONTRO DELLA SITUAZIONE DI DEFICITARIETA’ STRUTTURALE</w:t>
      </w:r>
      <w:bookmarkEnd w:id="54"/>
    </w:p>
    <w:p w:rsidR="00C30A8E" w:rsidRDefault="00F84CB3">
      <w:pPr>
        <w:rPr>
          <w:sz w:val="20"/>
        </w:rPr>
      </w:pPr>
      <w:r>
        <w:rPr>
          <w:sz w:val="20"/>
        </w:rPr>
        <w:t>L’ente nel rendiconto 2016, rispetta tutti i parametri di riscontro della situazione di deficitarietà strutturale pubblicati con decreto del Ministero dell’Interno del 18/02/2013, come da prospetto allegato al rendiconto.</w:t>
      </w:r>
    </w:p>
    <w:p w:rsidR="00C30A8E" w:rsidRDefault="00C30A8E">
      <w:pPr>
        <w:rPr>
          <w:b/>
          <w:i/>
          <w:color w:val="0070C0"/>
          <w:sz w:val="20"/>
        </w:rPr>
      </w:pPr>
    </w:p>
    <w:p w:rsidR="00C30A8E" w:rsidRDefault="00F84CB3">
      <w:pPr>
        <w:pStyle w:val="Titolo1"/>
        <w:shd w:val="clear" w:color="auto" w:fill="D6E3BC" w:themeFill="accent3" w:themeFillTint="66"/>
      </w:pPr>
      <w:bookmarkStart w:id="55" w:name="_Toc379377483"/>
      <w:r>
        <w:t>RESA DEL CONTO DEGLI AGENTI CONTABILI</w:t>
      </w:r>
      <w:bookmarkEnd w:id="55"/>
    </w:p>
    <w:p w:rsidR="00C30A8E" w:rsidRDefault="00C30A8E">
      <w:pPr>
        <w:rPr>
          <w:sz w:val="20"/>
        </w:rPr>
      </w:pPr>
    </w:p>
    <w:p w:rsidR="00C30A8E" w:rsidRPr="009076DA" w:rsidRDefault="00F84CB3">
      <w:pPr>
        <w:rPr>
          <w:sz w:val="20"/>
        </w:rPr>
      </w:pPr>
      <w:r w:rsidRPr="009076DA">
        <w:rPr>
          <w:sz w:val="20"/>
        </w:rPr>
        <w:t>Che in attuazione dell’articoli 226 e 233 del Tuel i seguenti agenti contabili, hanno reso il conto della loro gestione, entro il 30 gennaio 2017, allegando i documenti di cui al secondo comma del citato art. 233 :</w:t>
      </w:r>
    </w:p>
    <w:p w:rsidR="00C30A8E" w:rsidRPr="009076DA" w:rsidRDefault="00F84CB3">
      <w:pPr>
        <w:tabs>
          <w:tab w:val="left" w:pos="2410"/>
        </w:tabs>
        <w:rPr>
          <w:sz w:val="20"/>
        </w:rPr>
      </w:pPr>
      <w:r w:rsidRPr="009076DA">
        <w:rPr>
          <w:sz w:val="20"/>
        </w:rPr>
        <w:t>Tesoriere</w:t>
      </w:r>
      <w:r w:rsidR="009076DA" w:rsidRPr="009076DA">
        <w:rPr>
          <w:sz w:val="20"/>
        </w:rPr>
        <w:t xml:space="preserve"> UNICREDIT S.p.a. – Filiale di Morano sul Po</w:t>
      </w:r>
      <w:r w:rsidRPr="009076DA">
        <w:rPr>
          <w:sz w:val="20"/>
        </w:rPr>
        <w:tab/>
      </w:r>
    </w:p>
    <w:p w:rsidR="00C30A8E" w:rsidRPr="009076DA" w:rsidRDefault="00F84CB3">
      <w:pPr>
        <w:tabs>
          <w:tab w:val="left" w:pos="2410"/>
        </w:tabs>
        <w:rPr>
          <w:sz w:val="20"/>
        </w:rPr>
      </w:pPr>
      <w:r w:rsidRPr="009076DA">
        <w:rPr>
          <w:sz w:val="20"/>
        </w:rPr>
        <w:t xml:space="preserve">Economo </w:t>
      </w:r>
      <w:r w:rsidR="009076DA" w:rsidRPr="009076DA">
        <w:rPr>
          <w:sz w:val="20"/>
        </w:rPr>
        <w:t>DI MARIA Dott.ssa Maria Luisa</w:t>
      </w:r>
    </w:p>
    <w:p w:rsidR="008962BB" w:rsidRDefault="008962BB">
      <w:pPr>
        <w:tabs>
          <w:tab w:val="left" w:pos="2410"/>
        </w:tabs>
        <w:rPr>
          <w:sz w:val="20"/>
        </w:rPr>
      </w:pPr>
    </w:p>
    <w:p w:rsidR="008962BB" w:rsidRDefault="008962BB">
      <w:pPr>
        <w:tabs>
          <w:tab w:val="left" w:pos="2410"/>
        </w:tabs>
        <w:rPr>
          <w:sz w:val="20"/>
        </w:rPr>
      </w:pPr>
    </w:p>
    <w:p w:rsidR="00C30A8E" w:rsidRDefault="00C30A8E">
      <w:pPr>
        <w:widowControl/>
        <w:overflowPunct/>
        <w:autoSpaceDE/>
        <w:autoSpaceDN/>
        <w:adjustRightInd/>
        <w:spacing w:after="0"/>
        <w:jc w:val="left"/>
        <w:textAlignment w:val="auto"/>
        <w:rPr>
          <w:i/>
          <w:sz w:val="20"/>
        </w:rPr>
      </w:pPr>
    </w:p>
    <w:p w:rsidR="00C30A8E" w:rsidRDefault="00F84CB3">
      <w:pPr>
        <w:pStyle w:val="Titolo1"/>
        <w:shd w:val="clear" w:color="auto" w:fill="D6E3BC" w:themeFill="accent3" w:themeFillTint="66"/>
      </w:pPr>
      <w:bookmarkStart w:id="56" w:name="_Toc379377485"/>
      <w:r>
        <w:t>CONTO ECONOMICO</w:t>
      </w:r>
      <w:bookmarkEnd w:id="56"/>
    </w:p>
    <w:p w:rsidR="00853956" w:rsidRDefault="00853956" w:rsidP="00853956">
      <w:pPr>
        <w:rPr>
          <w:rFonts w:cs="Arial"/>
          <w:sz w:val="20"/>
        </w:rPr>
      </w:pPr>
      <w:r w:rsidRPr="00853956">
        <w:rPr>
          <w:rFonts w:cs="Arial"/>
          <w:sz w:val="20"/>
        </w:rPr>
        <w:t>Ai sensi del comma 164 della Legge 23 Dicembre 2005, n. 266 (Legge Finanziaria 2006) la disciplina del conto economico prevista dall’art. 229 del D.Lgs. 18.08.2000, n. 267, non si applica ai Comuni con popolazione inferiore a 3.000 abitanti, per cui non vengono redatti il Conto Economico ed il Prospetto di Conciliazione, ma viene redatto soltanto il Conto del Patrimonio, per la rilevazione dei fatti di gestione.</w:t>
      </w: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9E0675" w:rsidRDefault="009E0675" w:rsidP="00853956">
      <w:pPr>
        <w:rPr>
          <w:rFonts w:cs="Arial"/>
          <w:sz w:val="20"/>
        </w:rPr>
      </w:pPr>
    </w:p>
    <w:p w:rsidR="00C24983" w:rsidRDefault="00C24983" w:rsidP="00853956">
      <w:pPr>
        <w:rPr>
          <w:rFonts w:cs="Arial"/>
          <w:sz w:val="20"/>
        </w:rPr>
      </w:pPr>
    </w:p>
    <w:p w:rsidR="00C24983" w:rsidRDefault="00C24983" w:rsidP="00853956">
      <w:pPr>
        <w:rPr>
          <w:rFonts w:cs="Arial"/>
          <w:sz w:val="20"/>
        </w:rPr>
      </w:pPr>
    </w:p>
    <w:p w:rsidR="00C24983" w:rsidRDefault="00C24983" w:rsidP="00853956">
      <w:pPr>
        <w:rPr>
          <w:rFonts w:cs="Arial"/>
          <w:sz w:val="20"/>
        </w:rPr>
      </w:pPr>
    </w:p>
    <w:p w:rsidR="00C24983" w:rsidRDefault="00C24983" w:rsidP="00853956">
      <w:pPr>
        <w:rPr>
          <w:rFonts w:cs="Arial"/>
          <w:sz w:val="20"/>
        </w:rPr>
      </w:pPr>
    </w:p>
    <w:p w:rsidR="009E0675" w:rsidRDefault="009E0675" w:rsidP="00853956">
      <w:pPr>
        <w:rPr>
          <w:rFonts w:cs="Arial"/>
          <w:sz w:val="20"/>
        </w:rPr>
      </w:pPr>
    </w:p>
    <w:p w:rsidR="009E0675" w:rsidRPr="00451987" w:rsidRDefault="009E0675" w:rsidP="00853956">
      <w:pPr>
        <w:rPr>
          <w:sz w:val="24"/>
          <w:szCs w:val="24"/>
        </w:rPr>
      </w:pPr>
    </w:p>
    <w:p w:rsidR="00C30A8E" w:rsidRDefault="00F84CB3">
      <w:pPr>
        <w:pStyle w:val="Titolo1"/>
        <w:pBdr>
          <w:top w:val="single" w:sz="4" w:space="4" w:color="auto" w:shadow="1"/>
        </w:pBdr>
        <w:shd w:val="clear" w:color="auto" w:fill="D6E3BC" w:themeFill="accent3" w:themeFillTint="66"/>
      </w:pPr>
      <w:bookmarkStart w:id="57" w:name="_Toc379377486"/>
      <w:r>
        <w:t>STATO PATRIMONIALE</w:t>
      </w:r>
      <w:bookmarkEnd w:id="57"/>
    </w:p>
    <w:p w:rsidR="00C30A8E" w:rsidRDefault="00F84CB3">
      <w:pPr>
        <w:rPr>
          <w:rFonts w:ascii="Times New Roman" w:hAnsi="Times New Roman"/>
          <w:sz w:val="24"/>
          <w:szCs w:val="24"/>
        </w:rPr>
      </w:pPr>
      <w:r>
        <w:rPr>
          <w:rFonts w:cs="Arial"/>
          <w:sz w:val="20"/>
        </w:rPr>
        <w:t>I prospetti riguardanti l’inventario e lo stato patrimoniale al 1° gennaio dell’esercizio di avvio della nuova contabilità, riclassificati e rivalutati, con l’indicazione delle differenze di rivalutazione, sono allegati al rendiconto e saranno oggetto di approvazione del Consiglio in sede di approvazione del rendiconto dell’esercizio di avvio della contabilità economico patrimoniale, unitariamente ad un prospetto che evidenzia il raccordo tra la vecchia e la nuova classificazione.</w:t>
      </w:r>
    </w:p>
    <w:p w:rsidR="00C30A8E" w:rsidRDefault="00F84CB3">
      <w:pPr>
        <w:numPr>
          <w:ilvl w:val="12"/>
          <w:numId w:val="0"/>
        </w:numPr>
        <w:rPr>
          <w:rFonts w:cs="Arial"/>
          <w:sz w:val="20"/>
        </w:rPr>
      </w:pPr>
      <w:r>
        <w:rPr>
          <w:rFonts w:cs="Arial"/>
          <w:sz w:val="20"/>
        </w:rPr>
        <w:t>Nello stato patrimoniale sono rilevati gli elementi dell’attivo e del passivo, nonché le variazioni che gli elementi patrimoniali hanno subito per effetto della gestione.</w:t>
      </w:r>
      <w:r w:rsidR="006C1648">
        <w:rPr>
          <w:rFonts w:cs="Arial"/>
          <w:sz w:val="20"/>
        </w:rPr>
        <w:t xml:space="preserve"> </w:t>
      </w:r>
    </w:p>
    <w:p w:rsidR="00C30A8E" w:rsidRDefault="00F84CB3">
      <w:pPr>
        <w:pStyle w:val="Corpodeltesto3"/>
        <w:numPr>
          <w:ilvl w:val="12"/>
          <w:numId w:val="0"/>
        </w:numPr>
        <w:tabs>
          <w:tab w:val="num" w:pos="360"/>
        </w:tabs>
        <w:rPr>
          <w:rFonts w:cs="Arial"/>
        </w:rPr>
      </w:pPr>
      <w:r>
        <w:rPr>
          <w:rFonts w:cs="Arial"/>
        </w:rPr>
        <w:t>I valori patrimoniali al 31/12/2016 e le variazioni rispetto all’ anno precedente sono così riassunti:</w:t>
      </w:r>
      <w:bookmarkStart w:id="58" w:name="_MON_1549963467"/>
      <w:bookmarkEnd w:id="58"/>
      <w:r w:rsidR="002D79B0">
        <w:rPr>
          <w:rFonts w:cs="Arial"/>
        </w:rPr>
        <w:object w:dxaOrig="8234" w:dyaOrig="7859">
          <v:shape id="_x0000_i1046" type="#_x0000_t75" style="width:409.8pt;height:390.6pt" o:ole="">
            <v:imagedata r:id="rId60" o:title=""/>
          </v:shape>
          <o:OLEObject Type="Embed" ProgID="Excel.Sheet.12" ShapeID="_x0000_i1046" DrawAspect="Content" ObjectID="_1556368318" r:id="rId61"/>
        </w:object>
      </w:r>
    </w:p>
    <w:p w:rsidR="00C30A8E" w:rsidRDefault="00F84CB3">
      <w:pPr>
        <w:numPr>
          <w:ilvl w:val="12"/>
          <w:numId w:val="0"/>
        </w:numPr>
        <w:rPr>
          <w:rFonts w:cs="Arial"/>
          <w:sz w:val="20"/>
        </w:rPr>
      </w:pPr>
      <w:r>
        <w:rPr>
          <w:rFonts w:cs="Arial"/>
          <w:sz w:val="20"/>
        </w:rPr>
        <w:t>La verifica degli elementi patrimoniali al 31/12/2016 ha evidenziato:</w:t>
      </w:r>
    </w:p>
    <w:p w:rsidR="00C30A8E" w:rsidRDefault="00F84CB3">
      <w:pPr>
        <w:tabs>
          <w:tab w:val="left" w:pos="0"/>
        </w:tabs>
        <w:suppressAutoHyphens/>
        <w:spacing w:before="240"/>
        <w:jc w:val="left"/>
        <w:rPr>
          <w:rFonts w:cs="Arial"/>
          <w:b/>
          <w:iCs/>
          <w:szCs w:val="22"/>
          <w:u w:val="single"/>
        </w:rPr>
      </w:pPr>
      <w:r>
        <w:rPr>
          <w:rFonts w:cs="Arial"/>
          <w:b/>
          <w:iCs/>
          <w:szCs w:val="22"/>
          <w:u w:val="single"/>
        </w:rPr>
        <w:t>ATTIVO</w:t>
      </w:r>
    </w:p>
    <w:p w:rsidR="00C30A8E" w:rsidRDefault="00F84CB3">
      <w:pPr>
        <w:tabs>
          <w:tab w:val="left" w:pos="0"/>
        </w:tabs>
        <w:suppressAutoHyphens/>
        <w:spacing w:before="240"/>
        <w:jc w:val="left"/>
        <w:rPr>
          <w:rFonts w:cs="Arial"/>
          <w:i/>
          <w:iCs/>
          <w:szCs w:val="22"/>
          <w:u w:val="single"/>
        </w:rPr>
      </w:pPr>
      <w:r>
        <w:rPr>
          <w:rFonts w:cs="Arial"/>
          <w:i/>
          <w:iCs/>
          <w:szCs w:val="22"/>
          <w:u w:val="single"/>
        </w:rPr>
        <w:t xml:space="preserve">Immobilizzazioni </w:t>
      </w:r>
    </w:p>
    <w:p w:rsidR="00C30A8E" w:rsidRDefault="00F84CB3" w:rsidP="00853956">
      <w:pPr>
        <w:numPr>
          <w:ilvl w:val="12"/>
          <w:numId w:val="0"/>
        </w:numPr>
        <w:tabs>
          <w:tab w:val="num" w:pos="360"/>
        </w:tabs>
        <w:rPr>
          <w:rFonts w:cs="Arial"/>
          <w:sz w:val="20"/>
        </w:rPr>
      </w:pPr>
      <w:r>
        <w:rPr>
          <w:rFonts w:cs="Arial"/>
          <w:sz w:val="20"/>
        </w:rPr>
        <w:t>Le immobilizzazioni iscritte nello stato patrimoniale sono state valutate in base ai criteri indicati nel punto 6.1 del principio contabile applicato 4/3 I valori iscritti trovano corrispondenza con quanto riportato nell’inventario e nelle scritture contabili.</w:t>
      </w:r>
    </w:p>
    <w:p w:rsidR="00C30A8E" w:rsidRDefault="00F84CB3">
      <w:pPr>
        <w:numPr>
          <w:ilvl w:val="12"/>
          <w:numId w:val="0"/>
        </w:numPr>
        <w:rPr>
          <w:rFonts w:cs="Arial"/>
          <w:sz w:val="20"/>
        </w:rPr>
      </w:pPr>
      <w:r>
        <w:rPr>
          <w:rFonts w:cs="Arial"/>
          <w:sz w:val="20"/>
        </w:rPr>
        <w:t>Le immobilizzazioni finanziarie riferite alle partecipazioni sono state valutate col criterio indicato al punto 6.1.3 del principio contabile applicato 4/3.</w:t>
      </w:r>
    </w:p>
    <w:p w:rsidR="00C30A8E" w:rsidRDefault="00F84CB3">
      <w:pPr>
        <w:tabs>
          <w:tab w:val="left" w:pos="0"/>
        </w:tabs>
        <w:suppressAutoHyphens/>
        <w:spacing w:before="120"/>
        <w:jc w:val="left"/>
        <w:rPr>
          <w:rFonts w:cs="Arial"/>
          <w:i/>
          <w:iCs/>
          <w:szCs w:val="22"/>
          <w:u w:val="single"/>
        </w:rPr>
      </w:pPr>
      <w:r>
        <w:rPr>
          <w:rFonts w:cs="Arial"/>
          <w:i/>
          <w:iCs/>
          <w:szCs w:val="22"/>
          <w:u w:val="single"/>
        </w:rPr>
        <w:t xml:space="preserve">Crediti </w:t>
      </w:r>
    </w:p>
    <w:p w:rsidR="00C30A8E" w:rsidRDefault="00F84CB3">
      <w:pPr>
        <w:pStyle w:val="Corpodeltesto3"/>
        <w:tabs>
          <w:tab w:val="left" w:pos="0"/>
        </w:tabs>
        <w:suppressAutoHyphens/>
        <w:rPr>
          <w:rFonts w:cs="Arial"/>
        </w:rPr>
      </w:pPr>
      <w:r>
        <w:rPr>
          <w:rFonts w:cs="Arial"/>
        </w:rPr>
        <w:t>E’ stata verificata la corrispondenza tra residui attivi diversi da quelli di finanziamento e l’ammontare dei crediti di funzionamento, come indicato al punto 6.2b1 del principio contabile applicato 4/3,  nonché tra il fondo crediti di dubbia esigibilità e il fondo svalutazione crediti.</w:t>
      </w:r>
    </w:p>
    <w:p w:rsidR="00C30A8E" w:rsidRDefault="00F84CB3">
      <w:pPr>
        <w:pStyle w:val="Corpodeltesto3"/>
        <w:tabs>
          <w:tab w:val="left" w:pos="0"/>
        </w:tabs>
        <w:suppressAutoHyphens/>
        <w:rPr>
          <w:rFonts w:cs="Arial"/>
        </w:rPr>
      </w:pPr>
      <w:r>
        <w:rPr>
          <w:rFonts w:cs="Arial"/>
        </w:rPr>
        <w:t xml:space="preserve">Il fondo svalutazione crediti pari a euro </w:t>
      </w:r>
      <w:r w:rsidR="00853956">
        <w:rPr>
          <w:rFonts w:cs="Arial"/>
        </w:rPr>
        <w:t xml:space="preserve">8.972,91 </w:t>
      </w:r>
      <w:r>
        <w:rPr>
          <w:rFonts w:cs="Arial"/>
        </w:rPr>
        <w:t>è stato portato in detrazione delle voci di credito a cui si riferisce.</w:t>
      </w:r>
    </w:p>
    <w:p w:rsidR="00C30A8E" w:rsidRPr="002D79B0" w:rsidRDefault="00F84CB3" w:rsidP="002D79B0">
      <w:pPr>
        <w:pStyle w:val="Paragrafoelenco1"/>
        <w:spacing w:line="240" w:lineRule="auto"/>
        <w:ind w:left="0"/>
        <w:jc w:val="both"/>
        <w:rPr>
          <w:rFonts w:ascii="Arial" w:hAnsi="Arial" w:cs="Arial"/>
          <w:sz w:val="20"/>
          <w:szCs w:val="20"/>
        </w:rPr>
      </w:pPr>
      <w:r>
        <w:rPr>
          <w:rFonts w:ascii="Arial" w:hAnsi="Arial" w:cs="Arial"/>
          <w:sz w:val="20"/>
          <w:szCs w:val="20"/>
        </w:rPr>
        <w:t xml:space="preserve">In contabilità economico-patrimoniale, sono conservati anche i crediti stralciati dalla contabilità finanziaria ed, in corrispondenza di questi ultimi, deve essere iscritto in contabilità economico-patrimoniale un fondo pari al loro ammontare, come indicato al punto 6.2b1 del principio contabile applicato 4/3. </w:t>
      </w:r>
    </w:p>
    <w:p w:rsidR="00C30A8E" w:rsidRDefault="00F84CB3">
      <w:pPr>
        <w:tabs>
          <w:tab w:val="left" w:pos="0"/>
        </w:tabs>
        <w:suppressAutoHyphens/>
        <w:jc w:val="left"/>
        <w:rPr>
          <w:rFonts w:cs="Arial"/>
          <w:i/>
          <w:iCs/>
          <w:szCs w:val="22"/>
          <w:u w:val="single"/>
        </w:rPr>
      </w:pPr>
      <w:r>
        <w:rPr>
          <w:rFonts w:cs="Arial"/>
          <w:i/>
          <w:iCs/>
          <w:szCs w:val="22"/>
          <w:u w:val="single"/>
        </w:rPr>
        <w:t>Disponibilità liquide</w:t>
      </w:r>
    </w:p>
    <w:p w:rsidR="00C30A8E" w:rsidRDefault="00F84CB3">
      <w:pPr>
        <w:pStyle w:val="Corpodeltesto3"/>
        <w:tabs>
          <w:tab w:val="left" w:pos="0"/>
        </w:tabs>
        <w:suppressAutoHyphens/>
        <w:rPr>
          <w:rFonts w:cs="Arial"/>
        </w:rPr>
      </w:pPr>
      <w:r>
        <w:rPr>
          <w:rFonts w:cs="Arial"/>
        </w:rPr>
        <w:t>E’ stata verificata la corrispondenza del saldo patrimoniale al 31/12/2016 delle disponibilità liquide con le risultanze del conto del tesoriere, degli altri depositi bancari e postali.</w:t>
      </w:r>
    </w:p>
    <w:p w:rsidR="00C30A8E" w:rsidRDefault="00F84CB3">
      <w:pPr>
        <w:pStyle w:val="Corpodeltesto3"/>
        <w:tabs>
          <w:tab w:val="left" w:pos="0"/>
        </w:tabs>
        <w:suppressAutoHyphens/>
        <w:rPr>
          <w:rFonts w:cs="Arial"/>
          <w:b/>
          <w:u w:val="single"/>
        </w:rPr>
      </w:pPr>
      <w:r>
        <w:rPr>
          <w:rFonts w:cs="Arial"/>
          <w:b/>
          <w:u w:val="single"/>
        </w:rPr>
        <w:t>PASSIVO</w:t>
      </w:r>
    </w:p>
    <w:p w:rsidR="00C30A8E" w:rsidRPr="002D79B0" w:rsidRDefault="002D79B0" w:rsidP="002D79B0">
      <w:pPr>
        <w:pStyle w:val="Corpodeltesto3"/>
        <w:tabs>
          <w:tab w:val="left" w:pos="0"/>
        </w:tabs>
        <w:suppressAutoHyphens/>
        <w:rPr>
          <w:rFonts w:cs="Arial"/>
        </w:rPr>
      </w:pPr>
      <w:r w:rsidRPr="002D79B0">
        <w:rPr>
          <w:rFonts w:cs="Arial"/>
        </w:rPr>
        <w:t>Al 31.12.2016 i</w:t>
      </w:r>
      <w:r w:rsidR="00290A38" w:rsidRPr="002D79B0">
        <w:rPr>
          <w:rFonts w:cs="Arial"/>
        </w:rPr>
        <w:t xml:space="preserve">l patrimonio netto è pari a €. </w:t>
      </w:r>
      <w:r w:rsidRPr="002D79B0">
        <w:rPr>
          <w:rFonts w:cs="Arial"/>
        </w:rPr>
        <w:t>2.206.339,26.</w:t>
      </w:r>
    </w:p>
    <w:p w:rsidR="002D79B0" w:rsidRDefault="002D79B0">
      <w:pPr>
        <w:tabs>
          <w:tab w:val="left" w:pos="0"/>
        </w:tabs>
        <w:suppressAutoHyphens/>
        <w:rPr>
          <w:rFonts w:cs="Arial"/>
          <w:i/>
          <w:iCs/>
          <w:szCs w:val="22"/>
          <w:u w:val="single"/>
        </w:rPr>
      </w:pPr>
    </w:p>
    <w:p w:rsidR="00C30A8E" w:rsidRDefault="00F84CB3">
      <w:pPr>
        <w:tabs>
          <w:tab w:val="left" w:pos="0"/>
        </w:tabs>
        <w:suppressAutoHyphens/>
        <w:rPr>
          <w:rFonts w:cs="Arial"/>
          <w:i/>
          <w:iCs/>
          <w:szCs w:val="22"/>
          <w:u w:val="single"/>
        </w:rPr>
      </w:pPr>
      <w:r>
        <w:rPr>
          <w:rFonts w:cs="Arial"/>
          <w:i/>
          <w:iCs/>
          <w:szCs w:val="22"/>
          <w:u w:val="single"/>
        </w:rPr>
        <w:t xml:space="preserve">Debiti </w:t>
      </w:r>
    </w:p>
    <w:p w:rsidR="00C30A8E" w:rsidRDefault="00F84CB3">
      <w:pPr>
        <w:pStyle w:val="Corpodeltesto3"/>
        <w:tabs>
          <w:tab w:val="left" w:pos="0"/>
        </w:tabs>
        <w:suppressAutoHyphens/>
        <w:rPr>
          <w:rFonts w:cs="Arial"/>
          <w:b/>
          <w:i/>
          <w:iCs/>
          <w:color w:val="0070C0"/>
          <w:sz w:val="18"/>
          <w:szCs w:val="16"/>
        </w:rPr>
      </w:pPr>
      <w:r>
        <w:rPr>
          <w:rFonts w:cs="Arial"/>
        </w:rPr>
        <w:t>Per i debiti da finanziamento è stata verificata la corrispondenza tra saldo patrimoniale al 31/12/2016 con i debiti residui in sorte capitale dei prestiti in essere</w:t>
      </w:r>
      <w:r w:rsidR="00290A38">
        <w:rPr>
          <w:rFonts w:cs="Arial"/>
        </w:rPr>
        <w:t>;</w:t>
      </w:r>
    </w:p>
    <w:p w:rsidR="00C30A8E" w:rsidRDefault="00F84CB3">
      <w:pPr>
        <w:tabs>
          <w:tab w:val="left" w:pos="0"/>
        </w:tabs>
        <w:suppressAutoHyphens/>
        <w:rPr>
          <w:rFonts w:cs="Arial"/>
          <w:iCs/>
          <w:szCs w:val="22"/>
        </w:rPr>
      </w:pPr>
      <w:r>
        <w:rPr>
          <w:rFonts w:cs="Arial"/>
          <w:iCs/>
          <w:szCs w:val="22"/>
        </w:rPr>
        <w:t xml:space="preserve">Per gli altri debiti è stata verificata la corrispondenza con i residui passivi diversi da quelli di finanziamento. </w:t>
      </w:r>
    </w:p>
    <w:p w:rsidR="00C30A8E" w:rsidRDefault="00F84CB3">
      <w:pPr>
        <w:tabs>
          <w:tab w:val="left" w:pos="0"/>
        </w:tabs>
        <w:suppressAutoHyphens/>
        <w:rPr>
          <w:rFonts w:cs="Arial"/>
          <w:i/>
          <w:iCs/>
          <w:szCs w:val="22"/>
          <w:u w:val="single"/>
        </w:rPr>
      </w:pPr>
      <w:r>
        <w:rPr>
          <w:rFonts w:cs="Arial"/>
          <w:i/>
          <w:iCs/>
          <w:szCs w:val="22"/>
          <w:u w:val="single"/>
        </w:rPr>
        <w:t xml:space="preserve">Ratei, risconti e contributi agli investimenti </w:t>
      </w:r>
    </w:p>
    <w:p w:rsidR="00C30A8E" w:rsidRDefault="00F84CB3">
      <w:pPr>
        <w:pStyle w:val="Corpodeltesto3"/>
        <w:tabs>
          <w:tab w:val="left" w:pos="0"/>
        </w:tabs>
        <w:suppressAutoHyphens/>
        <w:rPr>
          <w:rFonts w:cs="Arial"/>
        </w:rPr>
      </w:pPr>
      <w:r>
        <w:rPr>
          <w:rFonts w:cs="Arial"/>
        </w:rPr>
        <w:t>Le somme iscritte sono state calcolate nel rispetto del punto 6.4.d. del principio contabile applicato 4/3.</w:t>
      </w:r>
    </w:p>
    <w:p w:rsidR="00C30A8E" w:rsidRDefault="00F84CB3">
      <w:pPr>
        <w:tabs>
          <w:tab w:val="left" w:pos="0"/>
        </w:tabs>
        <w:suppressAutoHyphens/>
        <w:jc w:val="left"/>
        <w:rPr>
          <w:rFonts w:cs="Arial"/>
          <w:i/>
          <w:iCs/>
          <w:szCs w:val="22"/>
          <w:u w:val="single"/>
        </w:rPr>
      </w:pPr>
      <w:r>
        <w:rPr>
          <w:rFonts w:cs="Arial"/>
          <w:i/>
          <w:iCs/>
          <w:szCs w:val="22"/>
          <w:u w:val="single"/>
        </w:rPr>
        <w:t xml:space="preserve">Conti d’ordine </w:t>
      </w:r>
    </w:p>
    <w:p w:rsidR="00C30A8E" w:rsidRDefault="00F84CB3">
      <w:pPr>
        <w:tabs>
          <w:tab w:val="left" w:pos="0"/>
        </w:tabs>
        <w:suppressAutoHyphens/>
        <w:jc w:val="left"/>
        <w:rPr>
          <w:rFonts w:cs="Arial"/>
          <w:iCs/>
          <w:szCs w:val="22"/>
        </w:rPr>
      </w:pPr>
      <w:r>
        <w:rPr>
          <w:rFonts w:cs="Arial"/>
          <w:iCs/>
          <w:szCs w:val="22"/>
        </w:rPr>
        <w:t>Nei conti d’ordine sono correttamente rilevate le garanzie prestate risultanti da atti conservati presso l’ente ed elencate nell’inventario.</w:t>
      </w:r>
    </w:p>
    <w:p w:rsidR="00C30A8E" w:rsidRDefault="00C30A8E">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8962BB" w:rsidRDefault="008962BB">
      <w:pPr>
        <w:widowControl/>
        <w:overflowPunct/>
        <w:autoSpaceDE/>
        <w:autoSpaceDN/>
        <w:adjustRightInd/>
        <w:spacing w:after="0"/>
        <w:jc w:val="left"/>
        <w:textAlignment w:val="auto"/>
        <w:rPr>
          <w:bCs/>
          <w:sz w:val="20"/>
        </w:rPr>
      </w:pPr>
    </w:p>
    <w:p w:rsidR="00C30A8E" w:rsidRDefault="00F84CB3">
      <w:pPr>
        <w:pStyle w:val="Titolo1"/>
        <w:shd w:val="clear" w:color="auto" w:fill="D6E3BC" w:themeFill="accent3" w:themeFillTint="66"/>
      </w:pPr>
      <w:bookmarkStart w:id="59" w:name="_Toc379377487"/>
      <w:r>
        <w:t>RELAZIONE DELLA GIUNTA AL RENDICONTO</w:t>
      </w:r>
      <w:bookmarkEnd w:id="59"/>
    </w:p>
    <w:p w:rsidR="00C30A8E" w:rsidRDefault="00F84CB3">
      <w:pPr>
        <w:numPr>
          <w:ilvl w:val="12"/>
          <w:numId w:val="0"/>
        </w:numPr>
        <w:rPr>
          <w:rFonts w:cs="Arial"/>
          <w:sz w:val="20"/>
        </w:rPr>
      </w:pPr>
      <w:r>
        <w:rPr>
          <w:rFonts w:cs="Arial"/>
          <w:sz w:val="20"/>
        </w:rPr>
        <w:t xml:space="preserve">L’organo di revisione attesta che la relazione predisposta dalla giunta </w:t>
      </w:r>
      <w:r w:rsidR="00F83858" w:rsidRPr="00F83858">
        <w:rPr>
          <w:rFonts w:cs="Arial"/>
          <w:sz w:val="20"/>
        </w:rPr>
        <w:t>è</w:t>
      </w:r>
      <w:r>
        <w:rPr>
          <w:rFonts w:cs="Arial"/>
          <w:sz w:val="20"/>
        </w:rPr>
        <w:t xml:space="preserve"> stata redatta conformemente a quanto previsto dall’articolo 231 del TUEL , secondo le modalità previste dall’art.11, comma 6 del d.lgs.118/2011 ed esprime le valutazioni di efficacia dell’azione condotta sulla base dei risultati conseguiti.</w:t>
      </w:r>
    </w:p>
    <w:p w:rsidR="00C30A8E" w:rsidRDefault="00F84CB3">
      <w:pPr>
        <w:rPr>
          <w:sz w:val="20"/>
        </w:rPr>
      </w:pPr>
      <w:r>
        <w:rPr>
          <w:sz w:val="20"/>
        </w:rPr>
        <w:t>Nella relazione sono illustrate le gestioni dell’ente, i criteri di valutazione utilizzati, nonché i fatti di rilievo verificatisi dopo la chiusura dell’esercizio.</w:t>
      </w:r>
    </w:p>
    <w:p w:rsidR="00290A38" w:rsidRDefault="00290A38" w:rsidP="003B3747">
      <w:pPr>
        <w:widowControl/>
        <w:overflowPunct/>
        <w:autoSpaceDE/>
        <w:autoSpaceDN/>
        <w:adjustRightInd/>
        <w:spacing w:after="0"/>
        <w:jc w:val="left"/>
        <w:textAlignment w:val="auto"/>
        <w:rPr>
          <w:rFonts w:cs="Arial"/>
          <w:iCs/>
          <w:sz w:val="20"/>
        </w:rPr>
      </w:pPr>
    </w:p>
    <w:p w:rsidR="00C30A8E" w:rsidRDefault="008962BB">
      <w:pPr>
        <w:pStyle w:val="Titolo1"/>
        <w:shd w:val="clear" w:color="auto" w:fill="D6E3BC" w:themeFill="accent3" w:themeFillTint="66"/>
      </w:pPr>
      <w:bookmarkStart w:id="60" w:name="_Toc379377492"/>
      <w:r>
        <w:t>C</w:t>
      </w:r>
      <w:r w:rsidR="00F84CB3">
        <w:t>ONCLUSIONI</w:t>
      </w:r>
      <w:bookmarkEnd w:id="60"/>
    </w:p>
    <w:p w:rsidR="00E52153" w:rsidRDefault="00F84CB3">
      <w:pPr>
        <w:pStyle w:val="Corpodeltesto3"/>
        <w:rPr>
          <w:rFonts w:cs="Arial"/>
          <w:bCs/>
        </w:rPr>
      </w:pPr>
      <w:r>
        <w:rPr>
          <w:rFonts w:cs="Arial"/>
          <w:bCs/>
        </w:rPr>
        <w:t xml:space="preserve">Tenuto conto di tutto quanto esposto, rilevato e proposto si attesta la corrispondenza del rendiconto alle risultanze della gestione e si </w:t>
      </w:r>
    </w:p>
    <w:p w:rsidR="00E52153" w:rsidRDefault="00E52153">
      <w:pPr>
        <w:pStyle w:val="Corpodeltesto3"/>
        <w:rPr>
          <w:rFonts w:cs="Arial"/>
          <w:bCs/>
        </w:rPr>
      </w:pPr>
    </w:p>
    <w:p w:rsidR="00E52153" w:rsidRDefault="00E52153" w:rsidP="00E52153">
      <w:pPr>
        <w:pStyle w:val="Corpodeltesto3"/>
        <w:jc w:val="center"/>
        <w:rPr>
          <w:rFonts w:cs="Arial"/>
          <w:bCs/>
        </w:rPr>
      </w:pPr>
      <w:r w:rsidRPr="00E52153">
        <w:rPr>
          <w:rFonts w:cs="Arial"/>
          <w:b/>
          <w:bCs/>
        </w:rPr>
        <w:t>ESPRIME PARERE FAVOREVOLE</w:t>
      </w:r>
      <w:r>
        <w:rPr>
          <w:rFonts w:cs="Arial"/>
          <w:bCs/>
        </w:rPr>
        <w:t xml:space="preserve"> </w:t>
      </w:r>
    </w:p>
    <w:p w:rsidR="00E52153" w:rsidRDefault="00E52153" w:rsidP="00E52153">
      <w:pPr>
        <w:pStyle w:val="Corpodeltesto3"/>
        <w:jc w:val="center"/>
        <w:rPr>
          <w:rFonts w:cs="Arial"/>
          <w:bCs/>
        </w:rPr>
      </w:pPr>
    </w:p>
    <w:p w:rsidR="00C30A8E" w:rsidRPr="00290A38" w:rsidRDefault="00F84CB3" w:rsidP="00E52153">
      <w:pPr>
        <w:pStyle w:val="Corpodeltesto3"/>
        <w:jc w:val="center"/>
        <w:rPr>
          <w:rFonts w:cs="Arial"/>
          <w:bCs/>
        </w:rPr>
      </w:pPr>
      <w:r>
        <w:rPr>
          <w:rFonts w:cs="Arial"/>
          <w:bCs/>
        </w:rPr>
        <w:t xml:space="preserve">per l’approvazione del rendiconto </w:t>
      </w:r>
      <w:r w:rsidR="00E52153">
        <w:rPr>
          <w:rFonts w:cs="Arial"/>
          <w:bCs/>
        </w:rPr>
        <w:t>dell’esercizio finanziario 2016</w:t>
      </w:r>
    </w:p>
    <w:p w:rsidR="00C30A8E" w:rsidRDefault="00C30A8E">
      <w:pPr>
        <w:rPr>
          <w:rFonts w:cs="Arial"/>
          <w:i/>
          <w:iCs/>
          <w:sz w:val="20"/>
          <w:u w:val="single"/>
        </w:rPr>
      </w:pPr>
    </w:p>
    <w:p w:rsidR="00C30A8E" w:rsidRDefault="00C30A8E">
      <w:pPr>
        <w:rPr>
          <w:rFonts w:cs="Arial"/>
          <w:sz w:val="20"/>
        </w:rPr>
      </w:pPr>
    </w:p>
    <w:p w:rsidR="00C30A8E" w:rsidRDefault="00C30A8E">
      <w:pPr>
        <w:rPr>
          <w:rFonts w:cs="Arial"/>
          <w:sz w:val="20"/>
        </w:rPr>
      </w:pPr>
    </w:p>
    <w:tbl>
      <w:tblPr>
        <w:tblW w:w="0" w:type="auto"/>
        <w:tblLayout w:type="fixed"/>
        <w:tblCellMar>
          <w:left w:w="71" w:type="dxa"/>
          <w:right w:w="71" w:type="dxa"/>
        </w:tblCellMar>
        <w:tblLook w:val="0000" w:firstRow="0" w:lastRow="0" w:firstColumn="0" w:lastColumn="0" w:noHBand="0" w:noVBand="0"/>
      </w:tblPr>
      <w:tblGrid>
        <w:gridCol w:w="5103"/>
        <w:gridCol w:w="3969"/>
      </w:tblGrid>
      <w:tr w:rsidR="00C30A8E">
        <w:tc>
          <w:tcPr>
            <w:tcW w:w="5103" w:type="dxa"/>
          </w:tcPr>
          <w:p w:rsidR="00C30A8E" w:rsidRDefault="00C30A8E">
            <w:pPr>
              <w:spacing w:before="120"/>
              <w:rPr>
                <w:rFonts w:cs="Arial"/>
                <w:sz w:val="20"/>
              </w:rPr>
            </w:pPr>
          </w:p>
        </w:tc>
        <w:tc>
          <w:tcPr>
            <w:tcW w:w="3969" w:type="dxa"/>
          </w:tcPr>
          <w:p w:rsidR="00C30A8E" w:rsidRDefault="00F84CB3">
            <w:pPr>
              <w:spacing w:before="120" w:after="0"/>
              <w:jc w:val="center"/>
              <w:rPr>
                <w:rFonts w:cs="Arial"/>
                <w:b/>
                <w:bCs/>
                <w:smallCaps/>
                <w:szCs w:val="22"/>
              </w:rPr>
            </w:pPr>
            <w:r>
              <w:rPr>
                <w:rFonts w:cs="Arial"/>
                <w:b/>
                <w:bCs/>
                <w:smallCaps/>
                <w:szCs w:val="22"/>
              </w:rPr>
              <w:t>L’organo di revisione</w:t>
            </w:r>
          </w:p>
        </w:tc>
      </w:tr>
      <w:tr w:rsidR="00C30A8E">
        <w:tc>
          <w:tcPr>
            <w:tcW w:w="5103" w:type="dxa"/>
          </w:tcPr>
          <w:p w:rsidR="00C30A8E" w:rsidRDefault="00C30A8E">
            <w:pPr>
              <w:pStyle w:val="Intestazione"/>
              <w:tabs>
                <w:tab w:val="clear" w:pos="4819"/>
                <w:tab w:val="clear" w:pos="9638"/>
              </w:tabs>
              <w:spacing w:before="240" w:after="240"/>
              <w:rPr>
                <w:rFonts w:cs="Arial"/>
                <w:sz w:val="20"/>
              </w:rPr>
            </w:pPr>
          </w:p>
        </w:tc>
        <w:tc>
          <w:tcPr>
            <w:tcW w:w="3969" w:type="dxa"/>
          </w:tcPr>
          <w:p w:rsidR="00C30A8E" w:rsidRDefault="00C30A8E">
            <w:pPr>
              <w:spacing w:before="240" w:after="240"/>
              <w:rPr>
                <w:rFonts w:cs="Arial"/>
                <w:sz w:val="20"/>
              </w:rPr>
            </w:pPr>
          </w:p>
        </w:tc>
      </w:tr>
      <w:tr w:rsidR="00C30A8E">
        <w:tc>
          <w:tcPr>
            <w:tcW w:w="5103" w:type="dxa"/>
          </w:tcPr>
          <w:p w:rsidR="00C30A8E" w:rsidRDefault="00C30A8E">
            <w:pPr>
              <w:spacing w:before="240" w:after="240"/>
              <w:rPr>
                <w:rFonts w:cs="Arial"/>
                <w:sz w:val="20"/>
              </w:rPr>
            </w:pPr>
          </w:p>
        </w:tc>
        <w:tc>
          <w:tcPr>
            <w:tcW w:w="3969" w:type="dxa"/>
            <w:tcBorders>
              <w:top w:val="single" w:sz="6" w:space="0" w:color="auto"/>
            </w:tcBorders>
          </w:tcPr>
          <w:p w:rsidR="00C30A8E" w:rsidRDefault="00C30A8E">
            <w:pPr>
              <w:spacing w:before="240" w:after="240"/>
              <w:rPr>
                <w:rFonts w:cs="Arial"/>
                <w:sz w:val="20"/>
              </w:rPr>
            </w:pPr>
          </w:p>
        </w:tc>
      </w:tr>
      <w:tr w:rsidR="00C30A8E">
        <w:tc>
          <w:tcPr>
            <w:tcW w:w="5103" w:type="dxa"/>
          </w:tcPr>
          <w:p w:rsidR="00C30A8E" w:rsidRDefault="00C30A8E">
            <w:pPr>
              <w:spacing w:before="240" w:after="240"/>
              <w:rPr>
                <w:rFonts w:cs="Arial"/>
                <w:sz w:val="20"/>
              </w:rPr>
            </w:pPr>
          </w:p>
        </w:tc>
        <w:tc>
          <w:tcPr>
            <w:tcW w:w="3969" w:type="dxa"/>
            <w:tcBorders>
              <w:top w:val="single" w:sz="6" w:space="0" w:color="auto"/>
              <w:bottom w:val="single" w:sz="6" w:space="0" w:color="auto"/>
            </w:tcBorders>
          </w:tcPr>
          <w:p w:rsidR="00C30A8E" w:rsidRDefault="00C30A8E">
            <w:pPr>
              <w:spacing w:before="240" w:after="240"/>
              <w:rPr>
                <w:rFonts w:cs="Arial"/>
                <w:sz w:val="20"/>
              </w:rPr>
            </w:pPr>
          </w:p>
        </w:tc>
      </w:tr>
    </w:tbl>
    <w:p w:rsidR="00C30A8E" w:rsidRDefault="00C30A8E" w:rsidP="003B3747">
      <w:pPr>
        <w:pStyle w:val="Titolo"/>
        <w:jc w:val="both"/>
      </w:pPr>
    </w:p>
    <w:sectPr w:rsidR="00C30A8E">
      <w:footerReference w:type="default" r:id="rId62"/>
      <w:pgSz w:w="11907" w:h="16840" w:code="9"/>
      <w:pgMar w:top="1134" w:right="1418" w:bottom="1418"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3FC" w:rsidRDefault="006463FC">
      <w:r>
        <w:separator/>
      </w:r>
    </w:p>
  </w:endnote>
  <w:endnote w:type="continuationSeparator" w:id="0">
    <w:p w:rsidR="006463FC" w:rsidRDefault="0064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tcCenturyLight">
    <w:altName w:val="Calibri"/>
    <w:panose1 w:val="00000000000000000000"/>
    <w:charset w:val="00"/>
    <w:family w:val="auto"/>
    <w:notTrueType/>
    <w:pitch w:val="default"/>
    <w:sig w:usb0="00000003" w:usb1="00000000" w:usb2="00000000" w:usb3="00000000" w:csb0="00000001" w:csb1="00000000"/>
  </w:font>
  <w:font w:name="UniversExBlkEx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MT">
    <w:altName w:val="Times New Roman"/>
    <w:charset w:val="00"/>
    <w:family w:val="swiss"/>
    <w:pitch w:val="variable"/>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2892287"/>
      <w:docPartObj>
        <w:docPartGallery w:val="Page Numbers (Bottom of Page)"/>
        <w:docPartUnique/>
      </w:docPartObj>
    </w:sdtPr>
    <w:sdtEndPr/>
    <w:sdtContent>
      <w:p w:rsidR="00ED685F" w:rsidRDefault="00ED685F">
        <w:pPr>
          <w:pStyle w:val="Pidipagina"/>
          <w:jc w:val="right"/>
        </w:pPr>
        <w:r>
          <w:fldChar w:fldCharType="begin"/>
        </w:r>
        <w:r>
          <w:instrText>PAGE   \* MERGEFORMAT</w:instrText>
        </w:r>
        <w:r>
          <w:fldChar w:fldCharType="separate"/>
        </w:r>
        <w:r w:rsidR="00D764A6">
          <w:rPr>
            <w:noProof/>
          </w:rPr>
          <w:t>17</w:t>
        </w:r>
        <w:r>
          <w:rPr>
            <w:noProof/>
          </w:rPr>
          <w:fldChar w:fldCharType="end"/>
        </w:r>
      </w:p>
    </w:sdtContent>
  </w:sdt>
  <w:p w:rsidR="00ED685F" w:rsidRDefault="00ED685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3FC" w:rsidRDefault="006463FC">
      <w:r>
        <w:separator/>
      </w:r>
    </w:p>
  </w:footnote>
  <w:footnote w:type="continuationSeparator" w:id="0">
    <w:p w:rsidR="006463FC" w:rsidRDefault="006463FC">
      <w:r>
        <w:continuationSeparator/>
      </w:r>
    </w:p>
  </w:footnote>
  <w:footnote w:type="continuationNotice" w:id="1">
    <w:p w:rsidR="006463FC" w:rsidRDefault="006463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54C79B0"/>
    <w:lvl w:ilvl="0">
      <w:numFmt w:val="decimal"/>
      <w:lvlText w:val="*"/>
      <w:lvlJc w:val="left"/>
    </w:lvl>
  </w:abstractNum>
  <w:abstractNum w:abstractNumId="1" w15:restartNumberingAfterBreak="0">
    <w:nsid w:val="022C0C81"/>
    <w:multiLevelType w:val="hybridMultilevel"/>
    <w:tmpl w:val="D5FCC1EC"/>
    <w:lvl w:ilvl="0" w:tplc="04100017">
      <w:start w:val="1"/>
      <w:numFmt w:val="lowerLetter"/>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29B3358"/>
    <w:multiLevelType w:val="hybridMultilevel"/>
    <w:tmpl w:val="FB5EFA2A"/>
    <w:lvl w:ilvl="0" w:tplc="754C79B0">
      <w:start w:val="1"/>
      <w:numFmt w:val="bullet"/>
      <w:lvlText w:val=""/>
      <w:legacy w:legacy="1" w:legacySpace="0" w:legacyIndent="360"/>
      <w:lvlJc w:val="left"/>
      <w:pPr>
        <w:ind w:left="709"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666AC"/>
    <w:multiLevelType w:val="hybridMultilevel"/>
    <w:tmpl w:val="57DCF676"/>
    <w:lvl w:ilvl="0" w:tplc="43A81B18">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7B77F4"/>
    <w:multiLevelType w:val="hybridMultilevel"/>
    <w:tmpl w:val="45D0D05A"/>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E1543BA"/>
    <w:multiLevelType w:val="hybridMultilevel"/>
    <w:tmpl w:val="F5B4A412"/>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0FB0195"/>
    <w:multiLevelType w:val="hybridMultilevel"/>
    <w:tmpl w:val="EDE4DD7E"/>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4DD73AE"/>
    <w:multiLevelType w:val="hybridMultilevel"/>
    <w:tmpl w:val="5E12665C"/>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29056661"/>
    <w:multiLevelType w:val="hybridMultilevel"/>
    <w:tmpl w:val="83B64C00"/>
    <w:lvl w:ilvl="0" w:tplc="3FAE5B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D072432"/>
    <w:multiLevelType w:val="hybridMultilevel"/>
    <w:tmpl w:val="9C6ECEB4"/>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15:restartNumberingAfterBreak="0">
    <w:nsid w:val="39162DC3"/>
    <w:multiLevelType w:val="hybridMultilevel"/>
    <w:tmpl w:val="1A9E6E00"/>
    <w:lvl w:ilvl="0" w:tplc="04100017">
      <w:start w:val="1"/>
      <w:numFmt w:val="lowerLetter"/>
      <w:lvlText w:val="%1)"/>
      <w:lvlJc w:val="left"/>
      <w:pPr>
        <w:ind w:left="360" w:hanging="360"/>
      </w:pPr>
    </w:lvl>
    <w:lvl w:ilvl="1" w:tplc="78F031B0">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A9A5D24"/>
    <w:multiLevelType w:val="hybridMultilevel"/>
    <w:tmpl w:val="874ABE7A"/>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3D3E469D"/>
    <w:multiLevelType w:val="hybridMultilevel"/>
    <w:tmpl w:val="5F7A22CA"/>
    <w:lvl w:ilvl="0" w:tplc="754C79B0">
      <w:start w:val="1"/>
      <w:numFmt w:val="bullet"/>
      <w:lvlText w:val=""/>
      <w:legacy w:legacy="1" w:legacySpace="0" w:legacyIndent="360"/>
      <w:lvlJc w:val="left"/>
      <w:pPr>
        <w:ind w:left="709"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C6C46"/>
    <w:multiLevelType w:val="hybridMultilevel"/>
    <w:tmpl w:val="FB2456A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A8F0DC9"/>
    <w:multiLevelType w:val="hybridMultilevel"/>
    <w:tmpl w:val="F9584024"/>
    <w:lvl w:ilvl="0" w:tplc="754C79B0">
      <w:start w:val="1"/>
      <w:numFmt w:val="bullet"/>
      <w:lvlText w:val=""/>
      <w:legacy w:legacy="1" w:legacySpace="0" w:legacyIndent="360"/>
      <w:lvlJc w:val="left"/>
      <w:pPr>
        <w:ind w:left="357" w:hanging="360"/>
      </w:pPr>
      <w:rPr>
        <w:rFonts w:ascii="Symbol" w:hAnsi="Symbol" w:hint="default"/>
      </w:rPr>
    </w:lvl>
    <w:lvl w:ilvl="1" w:tplc="04100003" w:tentative="1">
      <w:start w:val="1"/>
      <w:numFmt w:val="bullet"/>
      <w:lvlText w:val="o"/>
      <w:lvlJc w:val="left"/>
      <w:pPr>
        <w:tabs>
          <w:tab w:val="num" w:pos="1088"/>
        </w:tabs>
        <w:ind w:left="1088" w:hanging="360"/>
      </w:pPr>
      <w:rPr>
        <w:rFonts w:ascii="Courier New" w:hAnsi="Courier New" w:hint="default"/>
      </w:rPr>
    </w:lvl>
    <w:lvl w:ilvl="2" w:tplc="04100005" w:tentative="1">
      <w:start w:val="1"/>
      <w:numFmt w:val="bullet"/>
      <w:lvlText w:val=""/>
      <w:lvlJc w:val="left"/>
      <w:pPr>
        <w:tabs>
          <w:tab w:val="num" w:pos="1808"/>
        </w:tabs>
        <w:ind w:left="1808" w:hanging="360"/>
      </w:pPr>
      <w:rPr>
        <w:rFonts w:ascii="Wingdings" w:hAnsi="Wingdings" w:hint="default"/>
      </w:rPr>
    </w:lvl>
    <w:lvl w:ilvl="3" w:tplc="04100001" w:tentative="1">
      <w:start w:val="1"/>
      <w:numFmt w:val="bullet"/>
      <w:lvlText w:val=""/>
      <w:lvlJc w:val="left"/>
      <w:pPr>
        <w:tabs>
          <w:tab w:val="num" w:pos="2528"/>
        </w:tabs>
        <w:ind w:left="2528" w:hanging="360"/>
      </w:pPr>
      <w:rPr>
        <w:rFonts w:ascii="Symbol" w:hAnsi="Symbol" w:hint="default"/>
      </w:rPr>
    </w:lvl>
    <w:lvl w:ilvl="4" w:tplc="04100003" w:tentative="1">
      <w:start w:val="1"/>
      <w:numFmt w:val="bullet"/>
      <w:lvlText w:val="o"/>
      <w:lvlJc w:val="left"/>
      <w:pPr>
        <w:tabs>
          <w:tab w:val="num" w:pos="3248"/>
        </w:tabs>
        <w:ind w:left="3248" w:hanging="360"/>
      </w:pPr>
      <w:rPr>
        <w:rFonts w:ascii="Courier New" w:hAnsi="Courier New" w:hint="default"/>
      </w:rPr>
    </w:lvl>
    <w:lvl w:ilvl="5" w:tplc="04100005" w:tentative="1">
      <w:start w:val="1"/>
      <w:numFmt w:val="bullet"/>
      <w:lvlText w:val=""/>
      <w:lvlJc w:val="left"/>
      <w:pPr>
        <w:tabs>
          <w:tab w:val="num" w:pos="3968"/>
        </w:tabs>
        <w:ind w:left="3968" w:hanging="360"/>
      </w:pPr>
      <w:rPr>
        <w:rFonts w:ascii="Wingdings" w:hAnsi="Wingdings" w:hint="default"/>
      </w:rPr>
    </w:lvl>
    <w:lvl w:ilvl="6" w:tplc="04100001" w:tentative="1">
      <w:start w:val="1"/>
      <w:numFmt w:val="bullet"/>
      <w:lvlText w:val=""/>
      <w:lvlJc w:val="left"/>
      <w:pPr>
        <w:tabs>
          <w:tab w:val="num" w:pos="4688"/>
        </w:tabs>
        <w:ind w:left="4688" w:hanging="360"/>
      </w:pPr>
      <w:rPr>
        <w:rFonts w:ascii="Symbol" w:hAnsi="Symbol" w:hint="default"/>
      </w:rPr>
    </w:lvl>
    <w:lvl w:ilvl="7" w:tplc="04100003" w:tentative="1">
      <w:start w:val="1"/>
      <w:numFmt w:val="bullet"/>
      <w:lvlText w:val="o"/>
      <w:lvlJc w:val="left"/>
      <w:pPr>
        <w:tabs>
          <w:tab w:val="num" w:pos="5408"/>
        </w:tabs>
        <w:ind w:left="5408" w:hanging="360"/>
      </w:pPr>
      <w:rPr>
        <w:rFonts w:ascii="Courier New" w:hAnsi="Courier New" w:hint="default"/>
      </w:rPr>
    </w:lvl>
    <w:lvl w:ilvl="8" w:tplc="04100005" w:tentative="1">
      <w:start w:val="1"/>
      <w:numFmt w:val="bullet"/>
      <w:lvlText w:val=""/>
      <w:lvlJc w:val="left"/>
      <w:pPr>
        <w:tabs>
          <w:tab w:val="num" w:pos="6128"/>
        </w:tabs>
        <w:ind w:left="6128" w:hanging="360"/>
      </w:pPr>
      <w:rPr>
        <w:rFonts w:ascii="Wingdings" w:hAnsi="Wingdings" w:hint="default"/>
      </w:rPr>
    </w:lvl>
  </w:abstractNum>
  <w:abstractNum w:abstractNumId="15" w15:restartNumberingAfterBreak="0">
    <w:nsid w:val="4AF853FD"/>
    <w:multiLevelType w:val="hybridMultilevel"/>
    <w:tmpl w:val="87A2DF46"/>
    <w:lvl w:ilvl="0" w:tplc="E8000748">
      <w:numFmt w:val="bullet"/>
      <w:pStyle w:val="Puntoelenco2"/>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81B68"/>
    <w:multiLevelType w:val="hybridMultilevel"/>
    <w:tmpl w:val="390CDD12"/>
    <w:lvl w:ilvl="0" w:tplc="46FA478A">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31B689B"/>
    <w:multiLevelType w:val="hybridMultilevel"/>
    <w:tmpl w:val="048816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8116C3"/>
    <w:multiLevelType w:val="hybridMultilevel"/>
    <w:tmpl w:val="F82683E4"/>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5CDD4295"/>
    <w:multiLevelType w:val="multilevel"/>
    <w:tmpl w:val="633C7D82"/>
    <w:lvl w:ilvl="0">
      <w:start w:val="1"/>
      <w:numFmt w:val="lowerLetter"/>
      <w:lvlText w:val="%1)"/>
      <w:legacy w:legacy="1" w:legacySpace="0" w:legacyIndent="283"/>
      <w:lvlJc w:val="left"/>
      <w:pPr>
        <w:ind w:left="567" w:hanging="283"/>
      </w:pPr>
    </w:lvl>
    <w:lvl w:ilvl="1">
      <w:start w:val="1"/>
      <w:numFmt w:val="decimal"/>
      <w:lvlText w:val="%2)"/>
      <w:lvlJc w:val="left"/>
      <w:pPr>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ind w:left="2880" w:hanging="360"/>
      </w:pPr>
      <w:rPr>
        <w:rFonts w:hint="default"/>
        <w:b/>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13C1495"/>
    <w:multiLevelType w:val="hybridMultilevel"/>
    <w:tmpl w:val="BB4869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C74FF6"/>
    <w:multiLevelType w:val="hybridMultilevel"/>
    <w:tmpl w:val="4DFAD87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647659A9"/>
    <w:multiLevelType w:val="hybridMultilevel"/>
    <w:tmpl w:val="CAA818D4"/>
    <w:lvl w:ilvl="0" w:tplc="04100019">
      <w:start w:val="1"/>
      <w:numFmt w:val="lowerLetter"/>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3" w15:restartNumberingAfterBreak="0">
    <w:nsid w:val="656B095F"/>
    <w:multiLevelType w:val="hybridMultilevel"/>
    <w:tmpl w:val="4FF4B5F8"/>
    <w:lvl w:ilvl="0" w:tplc="F9BC5D8E">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360"/>
        </w:tabs>
        <w:ind w:left="360" w:hanging="360"/>
      </w:pPr>
      <w:rPr>
        <w:rFonts w:ascii="Courier New" w:hAnsi="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72050040"/>
    <w:multiLevelType w:val="hybridMultilevel"/>
    <w:tmpl w:val="A420071C"/>
    <w:lvl w:ilvl="0" w:tplc="46FA478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74094F9C"/>
    <w:multiLevelType w:val="hybridMultilevel"/>
    <w:tmpl w:val="C40CAEB2"/>
    <w:lvl w:ilvl="0" w:tplc="528E83F8">
      <w:start w:val="1"/>
      <w:numFmt w:val="bullet"/>
      <w:lvlText w:val="­"/>
      <w:lvlJc w:val="left"/>
      <w:pPr>
        <w:tabs>
          <w:tab w:val="num" w:pos="360"/>
        </w:tabs>
        <w:ind w:left="360" w:hanging="360"/>
      </w:pPr>
      <w:rPr>
        <w:rFonts w:ascii="Courier New" w:hAnsi="Courier New" w:hint="default"/>
        <w:sz w:val="16"/>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9"/>
  </w:num>
  <w:num w:numId="3">
    <w:abstractNumId w:val="0"/>
    <w:lvlOverride w:ilvl="0">
      <w:lvl w:ilvl="0">
        <w:start w:val="1"/>
        <w:numFmt w:val="bullet"/>
        <w:lvlText w:val=""/>
        <w:legacy w:legacy="1" w:legacySpace="0" w:legacyIndent="360"/>
        <w:lvlJc w:val="left"/>
        <w:pPr>
          <w:ind w:left="786" w:hanging="360"/>
        </w:pPr>
        <w:rPr>
          <w:rFonts w:ascii="Symbol" w:hAnsi="Symbol" w:hint="default"/>
        </w:rPr>
      </w:lvl>
    </w:lvlOverride>
  </w:num>
  <w:num w:numId="4">
    <w:abstractNumId w:val="0"/>
    <w:lvlOverride w:ilvl="0">
      <w:lvl w:ilvl="0">
        <w:start w:val="1"/>
        <w:numFmt w:val="bullet"/>
        <w:lvlText w:val=""/>
        <w:legacy w:legacy="1" w:legacySpace="0" w:legacyIndent="360"/>
        <w:lvlJc w:val="left"/>
        <w:pPr>
          <w:ind w:left="709" w:hanging="360"/>
        </w:pPr>
        <w:rPr>
          <w:rFonts w:ascii="Symbol" w:hAnsi="Symbol" w:hint="default"/>
        </w:rPr>
      </w:lvl>
    </w:lvlOverride>
  </w:num>
  <w:num w:numId="5">
    <w:abstractNumId w:val="18"/>
  </w:num>
  <w:num w:numId="6">
    <w:abstractNumId w:val="7"/>
  </w:num>
  <w:num w:numId="7">
    <w:abstractNumId w:val="14"/>
  </w:num>
  <w:num w:numId="8">
    <w:abstractNumId w:val="12"/>
  </w:num>
  <w:num w:numId="9">
    <w:abstractNumId w:val="2"/>
  </w:num>
  <w:num w:numId="10">
    <w:abstractNumId w:val="23"/>
  </w:num>
  <w:num w:numId="11">
    <w:abstractNumId w:val="11"/>
  </w:num>
  <w:num w:numId="12">
    <w:abstractNumId w:val="15"/>
  </w:num>
  <w:num w:numId="13">
    <w:abstractNumId w:val="1"/>
  </w:num>
  <w:num w:numId="14">
    <w:abstractNumId w:val="25"/>
  </w:num>
  <w:num w:numId="15">
    <w:abstractNumId w:val="22"/>
  </w:num>
  <w:num w:numId="16">
    <w:abstractNumId w:val="9"/>
  </w:num>
  <w:num w:numId="17">
    <w:abstractNumId w:val="5"/>
  </w:num>
  <w:num w:numId="18">
    <w:abstractNumId w:val="13"/>
  </w:num>
  <w:num w:numId="19">
    <w:abstractNumId w:val="10"/>
  </w:num>
  <w:num w:numId="20">
    <w:abstractNumId w:val="16"/>
  </w:num>
  <w:num w:numId="21">
    <w:abstractNumId w:val="4"/>
  </w:num>
  <w:num w:numId="22">
    <w:abstractNumId w:val="24"/>
  </w:num>
  <w:num w:numId="23">
    <w:abstractNumId w:val="17"/>
  </w:num>
  <w:num w:numId="24">
    <w:abstractNumId w:val="8"/>
  </w:num>
  <w:num w:numId="25">
    <w:abstractNumId w:val="3"/>
  </w:num>
  <w:num w:numId="26">
    <w:abstractNumId w:val="6"/>
  </w:num>
  <w:num w:numId="27">
    <w:abstractNumId w:val="21"/>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A8E"/>
    <w:rsid w:val="0001571D"/>
    <w:rsid w:val="0002435D"/>
    <w:rsid w:val="0002533F"/>
    <w:rsid w:val="0009366D"/>
    <w:rsid w:val="000C66B0"/>
    <w:rsid w:val="000D068C"/>
    <w:rsid w:val="000F0785"/>
    <w:rsid w:val="00107D28"/>
    <w:rsid w:val="00153004"/>
    <w:rsid w:val="00240B51"/>
    <w:rsid w:val="00242CE7"/>
    <w:rsid w:val="00290A38"/>
    <w:rsid w:val="002D223F"/>
    <w:rsid w:val="002D6D99"/>
    <w:rsid w:val="002D79B0"/>
    <w:rsid w:val="003768DE"/>
    <w:rsid w:val="003B3747"/>
    <w:rsid w:val="003D3055"/>
    <w:rsid w:val="003D5F69"/>
    <w:rsid w:val="004520F4"/>
    <w:rsid w:val="00460373"/>
    <w:rsid w:val="004D1B48"/>
    <w:rsid w:val="005102EB"/>
    <w:rsid w:val="00541294"/>
    <w:rsid w:val="00553303"/>
    <w:rsid w:val="005B19DD"/>
    <w:rsid w:val="0062075F"/>
    <w:rsid w:val="00630248"/>
    <w:rsid w:val="00631761"/>
    <w:rsid w:val="00631C27"/>
    <w:rsid w:val="00643167"/>
    <w:rsid w:val="006463FC"/>
    <w:rsid w:val="00665985"/>
    <w:rsid w:val="00691497"/>
    <w:rsid w:val="006C1648"/>
    <w:rsid w:val="006C39D5"/>
    <w:rsid w:val="006F4BE3"/>
    <w:rsid w:val="006F5B7B"/>
    <w:rsid w:val="007209B1"/>
    <w:rsid w:val="00737DE9"/>
    <w:rsid w:val="0074772E"/>
    <w:rsid w:val="00751347"/>
    <w:rsid w:val="0076584B"/>
    <w:rsid w:val="00765C9F"/>
    <w:rsid w:val="00793C23"/>
    <w:rsid w:val="007B2561"/>
    <w:rsid w:val="007B6A6A"/>
    <w:rsid w:val="007E07EE"/>
    <w:rsid w:val="008313DB"/>
    <w:rsid w:val="0085347F"/>
    <w:rsid w:val="00853956"/>
    <w:rsid w:val="00871ED5"/>
    <w:rsid w:val="0089550D"/>
    <w:rsid w:val="008962BB"/>
    <w:rsid w:val="008B459F"/>
    <w:rsid w:val="009076DA"/>
    <w:rsid w:val="00921882"/>
    <w:rsid w:val="00923077"/>
    <w:rsid w:val="009B3B9E"/>
    <w:rsid w:val="009E0675"/>
    <w:rsid w:val="00A0776B"/>
    <w:rsid w:val="00A147B2"/>
    <w:rsid w:val="00A46895"/>
    <w:rsid w:val="00A524F2"/>
    <w:rsid w:val="00A642E8"/>
    <w:rsid w:val="00AB5A21"/>
    <w:rsid w:val="00AE149D"/>
    <w:rsid w:val="00AF319C"/>
    <w:rsid w:val="00B02F00"/>
    <w:rsid w:val="00B43774"/>
    <w:rsid w:val="00B54DF0"/>
    <w:rsid w:val="00BA484F"/>
    <w:rsid w:val="00BD0127"/>
    <w:rsid w:val="00C1072C"/>
    <w:rsid w:val="00C24983"/>
    <w:rsid w:val="00C300EE"/>
    <w:rsid w:val="00C30A8E"/>
    <w:rsid w:val="00C4607E"/>
    <w:rsid w:val="00C60541"/>
    <w:rsid w:val="00C77B13"/>
    <w:rsid w:val="00C93406"/>
    <w:rsid w:val="00CA61ED"/>
    <w:rsid w:val="00CE6F19"/>
    <w:rsid w:val="00D01A59"/>
    <w:rsid w:val="00D54859"/>
    <w:rsid w:val="00D764A6"/>
    <w:rsid w:val="00D875FC"/>
    <w:rsid w:val="00D93429"/>
    <w:rsid w:val="00E14C8F"/>
    <w:rsid w:val="00E313A4"/>
    <w:rsid w:val="00E52153"/>
    <w:rsid w:val="00E5469C"/>
    <w:rsid w:val="00E92753"/>
    <w:rsid w:val="00E96561"/>
    <w:rsid w:val="00ED685F"/>
    <w:rsid w:val="00EF4AA5"/>
    <w:rsid w:val="00F51F92"/>
    <w:rsid w:val="00F83858"/>
    <w:rsid w:val="00F84CB3"/>
    <w:rsid w:val="00F9438E"/>
    <w:rsid w:val="00FE4C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4772E"/>
    <w:pPr>
      <w:widowControl w:val="0"/>
      <w:overflowPunct w:val="0"/>
      <w:autoSpaceDE w:val="0"/>
      <w:autoSpaceDN w:val="0"/>
      <w:adjustRightInd w:val="0"/>
      <w:spacing w:after="120"/>
      <w:jc w:val="both"/>
      <w:textAlignment w:val="baseline"/>
    </w:pPr>
    <w:rPr>
      <w:rFonts w:ascii="Arial" w:hAnsi="Arial"/>
      <w:sz w:val="22"/>
    </w:rPr>
  </w:style>
  <w:style w:type="paragraph" w:styleId="Titolo1">
    <w:name w:val="heading 1"/>
    <w:basedOn w:val="Normale"/>
    <w:next w:val="Normale"/>
    <w:qFormat/>
    <w:pPr>
      <w:pBdr>
        <w:top w:val="single" w:sz="4" w:space="1" w:color="auto" w:shadow="1"/>
        <w:left w:val="single" w:sz="4" w:space="4" w:color="auto" w:shadow="1"/>
        <w:bottom w:val="single" w:sz="4" w:space="1" w:color="auto" w:shadow="1"/>
        <w:right w:val="single" w:sz="4" w:space="4" w:color="auto" w:shadow="1"/>
      </w:pBdr>
      <w:tabs>
        <w:tab w:val="left" w:pos="1275"/>
        <w:tab w:val="left" w:pos="1560"/>
        <w:tab w:val="left" w:leader="dot" w:pos="8789"/>
        <w:tab w:val="right" w:pos="9639"/>
      </w:tabs>
      <w:jc w:val="center"/>
      <w:outlineLvl w:val="0"/>
    </w:pPr>
    <w:rPr>
      <w:rFonts w:cs="Arial"/>
      <w:b/>
      <w:i/>
      <w:sz w:val="28"/>
    </w:rPr>
  </w:style>
  <w:style w:type="paragraph" w:styleId="Titolo2">
    <w:name w:val="heading 2"/>
    <w:basedOn w:val="Normale"/>
    <w:next w:val="Normale"/>
    <w:qFormat/>
    <w:pPr>
      <w:spacing w:after="240"/>
      <w:outlineLvl w:val="1"/>
    </w:pPr>
    <w:rPr>
      <w:b/>
      <w:sz w:val="24"/>
      <w:szCs w:val="24"/>
      <w:u w:val="single"/>
    </w:rPr>
  </w:style>
  <w:style w:type="paragraph" w:styleId="Titolo3">
    <w:name w:val="heading 3"/>
    <w:basedOn w:val="Titolo2"/>
    <w:next w:val="Normale"/>
    <w:qFormat/>
    <w:pPr>
      <w:outlineLvl w:val="2"/>
    </w:pPr>
    <w:rPr>
      <w:i/>
    </w:rPr>
  </w:style>
  <w:style w:type="paragraph" w:styleId="Titolo4">
    <w:name w:val="heading 4"/>
    <w:basedOn w:val="Normale"/>
    <w:next w:val="Normale"/>
    <w:qFormat/>
    <w:pPr>
      <w:spacing w:after="240"/>
      <w:jc w:val="left"/>
      <w:outlineLvl w:val="3"/>
    </w:pPr>
    <w:rPr>
      <w:rFonts w:ascii="Times New Roman" w:hAnsi="Times New Roman"/>
      <w:i/>
      <w:sz w:val="28"/>
    </w:rPr>
  </w:style>
  <w:style w:type="paragraph" w:styleId="Titolo5">
    <w:name w:val="heading 5"/>
    <w:basedOn w:val="Normale"/>
    <w:next w:val="Normale"/>
    <w:qFormat/>
    <w:pPr>
      <w:keepNext/>
      <w:spacing w:after="0"/>
      <w:jc w:val="center"/>
      <w:outlineLvl w:val="4"/>
    </w:pPr>
    <w:rPr>
      <w:b/>
      <w:i/>
      <w:sz w:val="18"/>
    </w:rPr>
  </w:style>
  <w:style w:type="paragraph" w:styleId="Titolo6">
    <w:name w:val="heading 6"/>
    <w:basedOn w:val="Normale"/>
    <w:next w:val="Normale"/>
    <w:qFormat/>
    <w:pPr>
      <w:keepNext/>
      <w:pBdr>
        <w:top w:val="single" w:sz="6" w:space="0" w:color="auto"/>
        <w:left w:val="single" w:sz="6" w:space="0" w:color="auto"/>
        <w:bottom w:val="single" w:sz="6" w:space="0" w:color="auto"/>
        <w:right w:val="single" w:sz="6" w:space="0" w:color="auto"/>
      </w:pBdr>
      <w:spacing w:before="120" w:after="0"/>
      <w:jc w:val="center"/>
      <w:outlineLvl w:val="5"/>
    </w:pPr>
    <w:rPr>
      <w:b/>
      <w:caps/>
      <w:sz w:val="20"/>
    </w:rPr>
  </w:style>
  <w:style w:type="paragraph" w:styleId="Titolo7">
    <w:name w:val="heading 7"/>
    <w:basedOn w:val="Normale"/>
    <w:next w:val="Normale"/>
    <w:qFormat/>
    <w:pPr>
      <w:keepNext/>
      <w:spacing w:before="40" w:after="40"/>
      <w:jc w:val="center"/>
      <w:outlineLvl w:val="6"/>
    </w:pPr>
    <w:rPr>
      <w:b/>
      <w:sz w:val="18"/>
    </w:rPr>
  </w:style>
  <w:style w:type="paragraph" w:styleId="Titolo8">
    <w:name w:val="heading 8"/>
    <w:basedOn w:val="Normale"/>
    <w:next w:val="Normale"/>
    <w:qFormat/>
    <w:pPr>
      <w:keepNext/>
      <w:spacing w:before="40" w:after="40"/>
      <w:jc w:val="center"/>
      <w:outlineLvl w:val="7"/>
    </w:pPr>
    <w:rPr>
      <w:i/>
      <w:sz w:val="18"/>
    </w:rPr>
  </w:style>
  <w:style w:type="paragraph" w:styleId="Titolo9">
    <w:name w:val="heading 9"/>
    <w:basedOn w:val="Normale"/>
    <w:next w:val="Normale"/>
    <w:qFormat/>
    <w:pPr>
      <w:keepNext/>
      <w:jc w:val="center"/>
      <w:outlineLvl w:val="8"/>
    </w:pPr>
    <w:rPr>
      <w:i/>
      <w:sz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notaapidipagina">
    <w:name w:val="footnote text"/>
    <w:basedOn w:val="Normale"/>
    <w:semiHidden/>
    <w:pPr>
      <w:ind w:left="425" w:hanging="425"/>
    </w:pPr>
    <w:rPr>
      <w:sz w:val="20"/>
    </w:rPr>
  </w:style>
  <w:style w:type="paragraph" w:styleId="Pidipagina">
    <w:name w:val="footer"/>
    <w:basedOn w:val="Normale"/>
    <w:link w:val="PidipaginaCarattere"/>
    <w:uiPriority w:val="99"/>
    <w:pPr>
      <w:pBdr>
        <w:top w:val="single" w:sz="6" w:space="1" w:color="auto"/>
      </w:pBdr>
      <w:spacing w:after="0"/>
      <w:jc w:val="center"/>
    </w:pPr>
    <w:rPr>
      <w:sz w:val="18"/>
    </w:rPr>
  </w:style>
  <w:style w:type="character" w:styleId="Numeropagina">
    <w:name w:val="page number"/>
    <w:rPr>
      <w:rFonts w:ascii="Arial" w:hAnsi="Arial"/>
      <w:sz w:val="18"/>
    </w:rPr>
  </w:style>
  <w:style w:type="character" w:styleId="Rimandonotaapidipagina">
    <w:name w:val="footnote reference"/>
    <w:semiHidden/>
    <w:rPr>
      <w:vertAlign w:val="superscript"/>
    </w:rPr>
  </w:style>
  <w:style w:type="paragraph" w:customStyle="1" w:styleId="Premessa">
    <w:name w:val="Premessa"/>
    <w:basedOn w:val="Normale"/>
    <w:rPr>
      <w:i/>
    </w:rPr>
  </w:style>
  <w:style w:type="paragraph" w:customStyle="1" w:styleId="Corpodeltesto21">
    <w:name w:val="Corpo del testo 21"/>
    <w:basedOn w:val="Normale"/>
    <w:uiPriority w:val="99"/>
    <w:pPr>
      <w:ind w:left="426"/>
    </w:pPr>
  </w:style>
  <w:style w:type="paragraph" w:styleId="Titolo">
    <w:name w:val="Title"/>
    <w:basedOn w:val="Normale"/>
    <w:link w:val="TitoloCarattere"/>
    <w:qFormat/>
    <w:pPr>
      <w:spacing w:after="240"/>
      <w:jc w:val="center"/>
    </w:pPr>
    <w:rPr>
      <w:b/>
      <w:smallCaps/>
      <w:sz w:val="44"/>
    </w:rPr>
  </w:style>
  <w:style w:type="paragraph" w:styleId="Corpotesto">
    <w:name w:val="Body Text"/>
    <w:basedOn w:val="Normale"/>
    <w:pPr>
      <w:jc w:val="center"/>
    </w:pPr>
    <w:rPr>
      <w:b/>
      <w:sz w:val="36"/>
    </w:rPr>
  </w:style>
  <w:style w:type="paragraph" w:customStyle="1" w:styleId="Corpodeltesto22">
    <w:name w:val="Corpo del testo 22"/>
    <w:basedOn w:val="Normale"/>
    <w:rPr>
      <w:b/>
    </w:rPr>
  </w:style>
  <w:style w:type="paragraph" w:customStyle="1" w:styleId="Corpodeltesto31">
    <w:name w:val="Corpo del testo 31"/>
    <w:basedOn w:val="Normale"/>
    <w:pPr>
      <w:jc w:val="center"/>
    </w:pPr>
    <w:rPr>
      <w:color w:val="00FF00"/>
    </w:rPr>
  </w:style>
  <w:style w:type="paragraph" w:styleId="Corpodeltesto2">
    <w:name w:val="Body Text 2"/>
    <w:basedOn w:val="Normale"/>
    <w:pPr>
      <w:pBdr>
        <w:top w:val="single" w:sz="6" w:space="1" w:color="auto"/>
      </w:pBdr>
    </w:pPr>
  </w:style>
  <w:style w:type="character" w:styleId="Rimandocommento">
    <w:name w:val="annotation reference"/>
    <w:semiHidden/>
    <w:rPr>
      <w:sz w:val="16"/>
      <w:szCs w:val="16"/>
    </w:rPr>
  </w:style>
  <w:style w:type="paragraph" w:styleId="Testocommento">
    <w:name w:val="annotation text"/>
    <w:basedOn w:val="Normale"/>
    <w:semiHidden/>
    <w:rPr>
      <w:sz w:val="20"/>
    </w:rPr>
  </w:style>
  <w:style w:type="paragraph" w:styleId="Didascalia">
    <w:name w:val="caption"/>
    <w:basedOn w:val="Normale"/>
    <w:next w:val="Normale"/>
    <w:qFormat/>
    <w:pPr>
      <w:spacing w:after="240"/>
    </w:pPr>
    <w:rPr>
      <w:rFonts w:cs="Arial"/>
      <w:b/>
      <w:u w:val="single"/>
    </w:rPr>
  </w:style>
  <w:style w:type="paragraph" w:styleId="Corpodeltesto3">
    <w:name w:val="Body Text 3"/>
    <w:basedOn w:val="Normale"/>
    <w:link w:val="Corpodeltesto3Carattere"/>
    <w:rPr>
      <w:sz w:val="20"/>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customStyle="1" w:styleId="tabella">
    <w:name w:val="tabella"/>
    <w:basedOn w:val="Titolo3"/>
    <w:pPr>
      <w:keepNext/>
      <w:widowControl/>
      <w:overflowPunct/>
      <w:autoSpaceDE/>
      <w:autoSpaceDN/>
      <w:adjustRightInd/>
      <w:spacing w:after="0"/>
      <w:textAlignment w:val="auto"/>
    </w:pPr>
    <w:rPr>
      <w:b w:val="0"/>
      <w:i w:val="0"/>
      <w:sz w:val="18"/>
    </w:rPr>
  </w:style>
  <w:style w:type="table" w:styleId="Grigliatabella">
    <w:name w:val="Table Grid"/>
    <w:basedOn w:val="Tabellanormale"/>
    <w:pPr>
      <w:widowControl w:val="0"/>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semiHidden/>
    <w:pPr>
      <w:shd w:val="clear" w:color="auto" w:fill="000080"/>
    </w:pPr>
    <w:rPr>
      <w:rFonts w:ascii="Tahoma" w:hAnsi="Tahoma" w:cs="Tahoma"/>
      <w:sz w:val="20"/>
    </w:rPr>
  </w:style>
  <w:style w:type="paragraph" w:styleId="Puntoelenco2">
    <w:name w:val="List Bullet 2"/>
    <w:basedOn w:val="Normale"/>
    <w:autoRedefine/>
    <w:pPr>
      <w:widowControl/>
      <w:numPr>
        <w:numId w:val="12"/>
      </w:numPr>
      <w:overflowPunct/>
      <w:autoSpaceDE/>
      <w:autoSpaceDN/>
      <w:adjustRightInd/>
      <w:spacing w:after="0"/>
      <w:jc w:val="left"/>
      <w:textAlignment w:val="auto"/>
    </w:pPr>
    <w:rPr>
      <w:rFonts w:ascii="Times New Roman" w:hAnsi="Times New Roman"/>
      <w:sz w:val="24"/>
      <w:szCs w:val="24"/>
    </w:rPr>
  </w:style>
  <w:style w:type="paragraph" w:customStyle="1" w:styleId="CPVC">
    <w:name w:val="CPV_C"/>
    <w:pPr>
      <w:widowControl w:val="0"/>
      <w:tabs>
        <w:tab w:val="left" w:pos="0"/>
        <w:tab w:val="left" w:pos="1247"/>
        <w:tab w:val="left" w:pos="3969"/>
        <w:tab w:val="left" w:pos="4252"/>
        <w:tab w:val="left" w:pos="11339"/>
        <w:tab w:val="left" w:pos="28346"/>
      </w:tabs>
      <w:autoSpaceDE w:val="0"/>
      <w:autoSpaceDN w:val="0"/>
      <w:adjustRightInd w:val="0"/>
      <w:spacing w:before="260" w:after="85" w:line="25" w:lineRule="atLeast"/>
      <w:jc w:val="center"/>
    </w:pPr>
    <w:rPr>
      <w:rFonts w:ascii="ItcCenturyLight" w:hAnsi="ItcCenturyLight" w:cs="ItcCenturyLight"/>
    </w:rPr>
  </w:style>
  <w:style w:type="paragraph" w:customStyle="1" w:styleId="CPVCcvo">
    <w:name w:val="CPV_Ccvo"/>
    <w:pPr>
      <w:widowControl w:val="0"/>
      <w:tabs>
        <w:tab w:val="left" w:pos="0"/>
        <w:tab w:val="left" w:pos="1247"/>
        <w:tab w:val="left" w:pos="3969"/>
        <w:tab w:val="left" w:pos="4252"/>
        <w:tab w:val="left" w:pos="11339"/>
        <w:tab w:val="left" w:pos="28346"/>
      </w:tabs>
      <w:autoSpaceDE w:val="0"/>
      <w:autoSpaceDN w:val="0"/>
      <w:adjustRightInd w:val="0"/>
      <w:spacing w:before="260" w:after="85" w:line="25" w:lineRule="atLeast"/>
      <w:jc w:val="center"/>
    </w:pPr>
    <w:rPr>
      <w:rFonts w:ascii="ItcCenturyLight" w:hAnsi="ItcCenturyLight" w:cs="ItcCenturyLight"/>
      <w:i/>
      <w:iCs/>
    </w:rPr>
  </w:style>
  <w:style w:type="paragraph" w:customStyle="1" w:styleId="LIV2">
    <w:name w:val="LIV2"/>
    <w:pPr>
      <w:widowControl w:val="0"/>
      <w:tabs>
        <w:tab w:val="left" w:pos="0"/>
        <w:tab w:val="left" w:pos="1418"/>
        <w:tab w:val="left" w:pos="2835"/>
        <w:tab w:val="left" w:pos="4252"/>
      </w:tabs>
      <w:autoSpaceDE w:val="0"/>
      <w:autoSpaceDN w:val="0"/>
      <w:adjustRightInd w:val="0"/>
      <w:spacing w:before="444" w:after="171" w:line="12" w:lineRule="atLeast"/>
      <w:jc w:val="both"/>
    </w:pPr>
    <w:rPr>
      <w:rFonts w:ascii="UniversExBlkExt" w:hAnsi="UniversExBlkExt" w:cs="UniversExBlkExt"/>
      <w:b/>
      <w:bCs/>
      <w:sz w:val="16"/>
      <w:szCs w:val="16"/>
    </w:rPr>
  </w:style>
  <w:style w:type="paragraph" w:customStyle="1" w:styleId="cpv">
    <w:name w:val="cpv"/>
    <w:pPr>
      <w:widowControl w:val="0"/>
      <w:tabs>
        <w:tab w:val="left" w:pos="0"/>
        <w:tab w:val="left" w:pos="1418"/>
        <w:tab w:val="left" w:pos="2835"/>
        <w:tab w:val="left" w:pos="4252"/>
      </w:tabs>
      <w:autoSpaceDE w:val="0"/>
      <w:autoSpaceDN w:val="0"/>
      <w:adjustRightInd w:val="0"/>
      <w:spacing w:before="175" w:line="25" w:lineRule="atLeast"/>
      <w:jc w:val="both"/>
    </w:pPr>
    <w:rPr>
      <w:rFonts w:ascii="ItcCenturyLight" w:hAnsi="ItcCenturyLight" w:cs="ItcCenturyLight"/>
    </w:rPr>
  </w:style>
  <w:style w:type="paragraph" w:customStyle="1" w:styleId="sottocpv1">
    <w:name w:val="sottocpv1"/>
    <w:pPr>
      <w:widowControl w:val="0"/>
      <w:tabs>
        <w:tab w:val="left" w:pos="341"/>
        <w:tab w:val="left" w:pos="1759"/>
        <w:tab w:val="left" w:pos="3176"/>
        <w:tab w:val="left" w:pos="4593"/>
      </w:tabs>
      <w:autoSpaceDE w:val="0"/>
      <w:autoSpaceDN w:val="0"/>
      <w:adjustRightInd w:val="0"/>
      <w:spacing w:before="175" w:line="25" w:lineRule="atLeast"/>
      <w:ind w:left="341" w:hanging="341"/>
      <w:jc w:val="both"/>
    </w:pPr>
    <w:rPr>
      <w:rFonts w:ascii="ItcCenturyLight" w:hAnsi="ItcCenturyLight" w:cs="ItcCenturyLight"/>
    </w:rPr>
  </w:style>
  <w:style w:type="paragraph" w:styleId="Rientrocorpodeltesto">
    <w:name w:val="Body Text Indent"/>
    <w:basedOn w:val="Normale"/>
    <w:pPr>
      <w:ind w:left="283"/>
    </w:pPr>
  </w:style>
  <w:style w:type="paragraph" w:customStyle="1" w:styleId="level1">
    <w:name w:val="level 1"/>
    <w:basedOn w:val="Normale"/>
    <w:pPr>
      <w:widowControl/>
      <w:tabs>
        <w:tab w:val="right" w:pos="360"/>
        <w:tab w:val="left" w:pos="576"/>
      </w:tabs>
      <w:overflowPunct/>
      <w:autoSpaceDE/>
      <w:autoSpaceDN/>
      <w:adjustRightInd/>
      <w:spacing w:line="220" w:lineRule="exact"/>
      <w:ind w:left="576" w:hanging="576"/>
      <w:textAlignment w:val="auto"/>
    </w:pPr>
    <w:rPr>
      <w:rFonts w:ascii="Times New Roman" w:hAnsi="Times New Roman"/>
      <w:sz w:val="20"/>
      <w:lang w:val="en-US" w:eastAsia="en-US"/>
    </w:rPr>
  </w:style>
  <w:style w:type="paragraph" w:customStyle="1" w:styleId="tx">
    <w:name w:val="tx"/>
    <w:basedOn w:val="Normale"/>
    <w:pPr>
      <w:widowControl/>
      <w:overflowPunct/>
      <w:autoSpaceDE/>
      <w:autoSpaceDN/>
      <w:adjustRightInd/>
      <w:spacing w:before="20" w:after="20"/>
      <w:jc w:val="left"/>
      <w:textAlignment w:val="auto"/>
    </w:pPr>
    <w:rPr>
      <w:rFonts w:ascii="Times New Roman" w:hAnsi="Times New Roman"/>
      <w:sz w:val="24"/>
      <w:szCs w:val="24"/>
    </w:rPr>
  </w:style>
  <w:style w:type="paragraph" w:customStyle="1" w:styleId="Paragrafoelenco1">
    <w:name w:val="Paragrafo elenco1"/>
    <w:basedOn w:val="Normale"/>
    <w:uiPriority w:val="99"/>
    <w:qFormat/>
    <w:pPr>
      <w:widowControl/>
      <w:overflowPunct/>
      <w:autoSpaceDE/>
      <w:autoSpaceDN/>
      <w:adjustRightInd/>
      <w:spacing w:after="200" w:line="276" w:lineRule="auto"/>
      <w:ind w:left="720"/>
      <w:contextualSpacing/>
      <w:jc w:val="left"/>
      <w:textAlignment w:val="auto"/>
    </w:pPr>
    <w:rPr>
      <w:rFonts w:ascii="Calibri" w:hAnsi="Calibri"/>
      <w:szCs w:val="22"/>
      <w:lang w:eastAsia="en-US"/>
    </w:rPr>
  </w:style>
  <w:style w:type="character" w:styleId="Enfasicorsivo">
    <w:name w:val="Emphasis"/>
    <w:uiPriority w:val="99"/>
    <w:qFormat/>
    <w:rPr>
      <w:i/>
      <w:iCs/>
    </w:rPr>
  </w:style>
  <w:style w:type="paragraph" w:customStyle="1" w:styleId="rgscorpodeltesto">
    <w:name w:val="rgs_corpodeltesto"/>
    <w:basedOn w:val="Normale"/>
    <w:pPr>
      <w:widowControl/>
      <w:overflowPunct/>
      <w:autoSpaceDE/>
      <w:autoSpaceDN/>
      <w:adjustRightInd/>
      <w:spacing w:line="360" w:lineRule="auto"/>
      <w:ind w:firstLine="799"/>
      <w:textAlignment w:val="auto"/>
    </w:pPr>
    <w:rPr>
      <w:rFonts w:ascii="Times New Roman" w:hAnsi="Times New Roman"/>
      <w:sz w:val="24"/>
    </w:rPr>
  </w:style>
  <w:style w:type="paragraph" w:customStyle="1" w:styleId="provvr0">
    <w:name w:val="provv_r0"/>
    <w:basedOn w:val="Normale"/>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ListParagraph1">
    <w:name w:val="List Paragraph1"/>
    <w:basedOn w:val="Normale"/>
    <w:pPr>
      <w:widowControl/>
      <w:overflowPunct/>
      <w:autoSpaceDE/>
      <w:autoSpaceDN/>
      <w:adjustRightInd/>
      <w:spacing w:after="0" w:line="360" w:lineRule="auto"/>
      <w:ind w:left="720"/>
      <w:contextualSpacing/>
      <w:textAlignment w:val="auto"/>
    </w:pPr>
    <w:rPr>
      <w:rFonts w:ascii="Verdana" w:hAnsi="Verdana"/>
      <w:sz w:val="20"/>
      <w:lang w:eastAsia="en-US"/>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Sommario1">
    <w:name w:val="toc 1"/>
    <w:basedOn w:val="Normale"/>
    <w:next w:val="Normale"/>
    <w:autoRedefine/>
    <w:uiPriority w:val="39"/>
  </w:style>
  <w:style w:type="paragraph" w:styleId="Sommario2">
    <w:name w:val="toc 2"/>
    <w:basedOn w:val="Normale"/>
    <w:next w:val="Normale"/>
    <w:autoRedefine/>
    <w:uiPriority w:val="39"/>
    <w:pPr>
      <w:ind w:left="220"/>
    </w:pPr>
  </w:style>
  <w:style w:type="paragraph" w:styleId="Nessunaspaziatura">
    <w:name w:val="No Spacing"/>
    <w:link w:val="NessunaspaziaturaCarattere"/>
    <w:uiPriority w:val="1"/>
    <w:qFormat/>
    <w:rPr>
      <w:rFonts w:ascii="Calibri" w:hAnsi="Calibri"/>
      <w:sz w:val="22"/>
      <w:szCs w:val="22"/>
      <w:lang w:eastAsia="en-US"/>
    </w:rPr>
  </w:style>
  <w:style w:type="character" w:customStyle="1" w:styleId="NessunaspaziaturaCarattere">
    <w:name w:val="Nessuna spaziatura Carattere"/>
    <w:link w:val="Nessunaspaziatura"/>
    <w:uiPriority w:val="1"/>
    <w:rPr>
      <w:rFonts w:ascii="Calibri" w:hAnsi="Calibri"/>
      <w:sz w:val="22"/>
      <w:szCs w:val="22"/>
      <w:lang w:val="it-IT" w:eastAsia="en-US" w:bidi="ar-SA"/>
    </w:rPr>
  </w:style>
  <w:style w:type="paragraph" w:styleId="Revisione">
    <w:name w:val="Revision"/>
    <w:hidden/>
    <w:uiPriority w:val="99"/>
    <w:semiHidden/>
    <w:rPr>
      <w:rFonts w:ascii="Arial" w:hAnsi="Arial"/>
      <w:sz w:val="22"/>
    </w:rPr>
  </w:style>
  <w:style w:type="character" w:customStyle="1" w:styleId="PidipaginaCarattere">
    <w:name w:val="Piè di pagina Carattere"/>
    <w:basedOn w:val="Carpredefinitoparagrafo"/>
    <w:link w:val="Pidipagina"/>
    <w:uiPriority w:val="99"/>
    <w:rPr>
      <w:rFonts w:ascii="Arial" w:hAnsi="Arial"/>
      <w:sz w:val="18"/>
    </w:rPr>
  </w:style>
  <w:style w:type="character" w:styleId="Enfasigrassetto">
    <w:name w:val="Strong"/>
    <w:basedOn w:val="Carpredefinitoparagrafo"/>
    <w:uiPriority w:val="99"/>
    <w:qFormat/>
    <w:rPr>
      <w:b/>
      <w:bCs/>
    </w:rPr>
  </w:style>
  <w:style w:type="paragraph" w:customStyle="1" w:styleId="Latino10pt">
    <w:name w:val="(Latino) 10 pt"/>
    <w:basedOn w:val="Normale"/>
    <w:pPr>
      <w:widowControl/>
      <w:suppressAutoHyphens/>
      <w:overflowPunct/>
      <w:autoSpaceDE/>
      <w:autoSpaceDN/>
      <w:adjustRightInd/>
      <w:spacing w:after="0" w:line="360" w:lineRule="auto"/>
      <w:ind w:right="851"/>
      <w:textAlignment w:val="auto"/>
    </w:pPr>
    <w:rPr>
      <w:rFonts w:ascii="Verdana" w:hAnsi="Verdana" w:cs="Verdana"/>
      <w:sz w:val="20"/>
      <w:lang w:eastAsia="ar-SA"/>
    </w:rPr>
  </w:style>
  <w:style w:type="character" w:customStyle="1" w:styleId="apple-converted-space">
    <w:name w:val="apple-converted-space"/>
    <w:basedOn w:val="Carpredefinitoparagrafo"/>
    <w:uiPriority w:val="99"/>
    <w:rPr>
      <w:rFonts w:cs="Times New Roman"/>
    </w:rPr>
  </w:style>
  <w:style w:type="paragraph" w:customStyle="1" w:styleId="BodyText21">
    <w:name w:val="Body Text 21"/>
    <w:basedOn w:val="Normale"/>
    <w:uiPriority w:val="99"/>
    <w:pPr>
      <w:textAlignment w:val="auto"/>
    </w:pPr>
    <w:rPr>
      <w:b/>
      <w:i/>
      <w:sz w:val="24"/>
    </w:rPr>
  </w:style>
  <w:style w:type="paragraph" w:styleId="Paragrafoelenco">
    <w:name w:val="List Paragraph"/>
    <w:basedOn w:val="Normale"/>
    <w:uiPriority w:val="34"/>
    <w:qFormat/>
    <w:pPr>
      <w:ind w:left="720"/>
      <w:contextualSpacing/>
    </w:pPr>
  </w:style>
  <w:style w:type="paragraph" w:styleId="NormaleWeb">
    <w:name w:val="Normal (Web)"/>
    <w:basedOn w:val="Normale"/>
    <w:uiPriority w:val="99"/>
    <w:pPr>
      <w:widowControl/>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Sottotitolo">
    <w:name w:val="Subtitle"/>
    <w:basedOn w:val="Normale"/>
    <w:next w:val="Normale"/>
    <w:link w:val="SottotitoloCarattere"/>
    <w:uiPriority w:val="11"/>
    <w:qFormat/>
    <w:pPr>
      <w:widowControl/>
      <w:overflowPunct/>
      <w:autoSpaceDE/>
      <w:autoSpaceDN/>
      <w:adjustRightInd/>
      <w:spacing w:after="60"/>
      <w:jc w:val="center"/>
      <w:textAlignment w:val="auto"/>
      <w:outlineLvl w:val="1"/>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uiPriority w:val="11"/>
    <w:rPr>
      <w:rFonts w:asciiTheme="majorHAnsi" w:eastAsiaTheme="majorEastAsia" w:hAnsiTheme="majorHAnsi" w:cstheme="majorBidi"/>
      <w:sz w:val="24"/>
      <w:szCs w:val="24"/>
    </w:rPr>
  </w:style>
  <w:style w:type="character" w:customStyle="1" w:styleId="TitoloCarattere">
    <w:name w:val="Titolo Carattere"/>
    <w:basedOn w:val="Carpredefinitoparagrafo"/>
    <w:link w:val="Titolo"/>
    <w:locked/>
    <w:rPr>
      <w:rFonts w:ascii="Arial" w:hAnsi="Arial"/>
      <w:b/>
      <w:smallCaps/>
      <w:sz w:val="44"/>
    </w:rPr>
  </w:style>
  <w:style w:type="paragraph" w:customStyle="1" w:styleId="TB">
    <w:name w:val="TB"/>
    <w:basedOn w:val="Normale"/>
    <w:pPr>
      <w:overflowPunct/>
      <w:spacing w:after="0" w:line="200" w:lineRule="atLeast"/>
      <w:jc w:val="left"/>
      <w:textAlignment w:val="center"/>
    </w:pPr>
    <w:rPr>
      <w:rFonts w:cs="ArialMT"/>
      <w:color w:val="000000"/>
      <w:sz w:val="17"/>
      <w:szCs w:val="17"/>
      <w:lang w:eastAsia="en-US"/>
    </w:rPr>
  </w:style>
  <w:style w:type="character" w:styleId="Rimandonotadichiusura">
    <w:name w:val="endnote reference"/>
    <w:rPr>
      <w:vertAlign w:val="superscript"/>
    </w:rPr>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character" w:customStyle="1" w:styleId="linkneltesto">
    <w:name w:val="link_nel_testo"/>
    <w:basedOn w:val="Carpredefinitoparagrafo"/>
  </w:style>
  <w:style w:type="paragraph" w:customStyle="1" w:styleId="font5">
    <w:name w:val="font5"/>
    <w:basedOn w:val="Normale"/>
    <w:pPr>
      <w:widowControl/>
      <w:overflowPunct/>
      <w:autoSpaceDE/>
      <w:autoSpaceDN/>
      <w:adjustRightInd/>
      <w:spacing w:before="100" w:after="100"/>
      <w:jc w:val="left"/>
      <w:textAlignment w:val="auto"/>
    </w:pPr>
    <w:rPr>
      <w:rFonts w:eastAsia="Arial Unicode MS"/>
      <w:sz w:val="24"/>
    </w:rPr>
  </w:style>
  <w:style w:type="character" w:customStyle="1" w:styleId="Corpodeltesto3Carattere">
    <w:name w:val="Corpo del testo 3 Carattere"/>
    <w:basedOn w:val="Carpredefinitoparagrafo"/>
    <w:link w:val="Corpodeltesto3"/>
    <w:rsid w:val="0074772E"/>
    <w:rPr>
      <w:rFonts w:ascii="Arial" w:hAnsi="Arial"/>
    </w:rPr>
  </w:style>
  <w:style w:type="paragraph" w:styleId="Testonotadichiusura">
    <w:name w:val="endnote text"/>
    <w:basedOn w:val="Normale"/>
    <w:link w:val="TestonotadichiusuraCarattere"/>
    <w:semiHidden/>
    <w:unhideWhenUsed/>
    <w:rsid w:val="00290A38"/>
    <w:pPr>
      <w:spacing w:after="0"/>
    </w:pPr>
    <w:rPr>
      <w:sz w:val="20"/>
    </w:rPr>
  </w:style>
  <w:style w:type="character" w:customStyle="1" w:styleId="TestonotadichiusuraCarattere">
    <w:name w:val="Testo nota di chiusura Carattere"/>
    <w:basedOn w:val="Carpredefinitoparagrafo"/>
    <w:link w:val="Testonotadichiusura"/>
    <w:semiHidden/>
    <w:rsid w:val="00290A3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1402">
      <w:bodyDiv w:val="1"/>
      <w:marLeft w:val="0"/>
      <w:marRight w:val="0"/>
      <w:marTop w:val="0"/>
      <w:marBottom w:val="0"/>
      <w:divBdr>
        <w:top w:val="none" w:sz="0" w:space="0" w:color="auto"/>
        <w:left w:val="none" w:sz="0" w:space="0" w:color="auto"/>
        <w:bottom w:val="none" w:sz="0" w:space="0" w:color="auto"/>
        <w:right w:val="none" w:sz="0" w:space="0" w:color="auto"/>
      </w:divBdr>
      <w:divsChild>
        <w:div w:id="962886498">
          <w:marLeft w:val="0"/>
          <w:marRight w:val="0"/>
          <w:marTop w:val="0"/>
          <w:marBottom w:val="0"/>
          <w:divBdr>
            <w:top w:val="none" w:sz="0" w:space="0" w:color="auto"/>
            <w:left w:val="none" w:sz="0" w:space="0" w:color="auto"/>
            <w:bottom w:val="none" w:sz="0" w:space="0" w:color="auto"/>
            <w:right w:val="none" w:sz="0" w:space="0" w:color="auto"/>
          </w:divBdr>
        </w:div>
        <w:div w:id="409934302">
          <w:marLeft w:val="0"/>
          <w:marRight w:val="0"/>
          <w:marTop w:val="0"/>
          <w:marBottom w:val="0"/>
          <w:divBdr>
            <w:top w:val="none" w:sz="0" w:space="0" w:color="auto"/>
            <w:left w:val="none" w:sz="0" w:space="0" w:color="auto"/>
            <w:bottom w:val="none" w:sz="0" w:space="0" w:color="auto"/>
            <w:right w:val="none" w:sz="0" w:space="0" w:color="auto"/>
          </w:divBdr>
        </w:div>
        <w:div w:id="1879471931">
          <w:marLeft w:val="0"/>
          <w:marRight w:val="0"/>
          <w:marTop w:val="0"/>
          <w:marBottom w:val="0"/>
          <w:divBdr>
            <w:top w:val="none" w:sz="0" w:space="0" w:color="auto"/>
            <w:left w:val="none" w:sz="0" w:space="0" w:color="auto"/>
            <w:bottom w:val="none" w:sz="0" w:space="0" w:color="auto"/>
            <w:right w:val="none" w:sz="0" w:space="0" w:color="auto"/>
          </w:divBdr>
        </w:div>
        <w:div w:id="991448947">
          <w:marLeft w:val="0"/>
          <w:marRight w:val="0"/>
          <w:marTop w:val="0"/>
          <w:marBottom w:val="0"/>
          <w:divBdr>
            <w:top w:val="none" w:sz="0" w:space="0" w:color="auto"/>
            <w:left w:val="none" w:sz="0" w:space="0" w:color="auto"/>
            <w:bottom w:val="none" w:sz="0" w:space="0" w:color="auto"/>
            <w:right w:val="none" w:sz="0" w:space="0" w:color="auto"/>
          </w:divBdr>
        </w:div>
        <w:div w:id="2141990934">
          <w:marLeft w:val="0"/>
          <w:marRight w:val="0"/>
          <w:marTop w:val="0"/>
          <w:marBottom w:val="0"/>
          <w:divBdr>
            <w:top w:val="none" w:sz="0" w:space="0" w:color="auto"/>
            <w:left w:val="none" w:sz="0" w:space="0" w:color="auto"/>
            <w:bottom w:val="none" w:sz="0" w:space="0" w:color="auto"/>
            <w:right w:val="none" w:sz="0" w:space="0" w:color="auto"/>
          </w:divBdr>
        </w:div>
        <w:div w:id="1374235435">
          <w:marLeft w:val="0"/>
          <w:marRight w:val="0"/>
          <w:marTop w:val="0"/>
          <w:marBottom w:val="0"/>
          <w:divBdr>
            <w:top w:val="none" w:sz="0" w:space="0" w:color="auto"/>
            <w:left w:val="none" w:sz="0" w:space="0" w:color="auto"/>
            <w:bottom w:val="none" w:sz="0" w:space="0" w:color="auto"/>
            <w:right w:val="none" w:sz="0" w:space="0" w:color="auto"/>
          </w:divBdr>
        </w:div>
        <w:div w:id="912785495">
          <w:marLeft w:val="0"/>
          <w:marRight w:val="0"/>
          <w:marTop w:val="0"/>
          <w:marBottom w:val="0"/>
          <w:divBdr>
            <w:top w:val="none" w:sz="0" w:space="0" w:color="auto"/>
            <w:left w:val="none" w:sz="0" w:space="0" w:color="auto"/>
            <w:bottom w:val="none" w:sz="0" w:space="0" w:color="auto"/>
            <w:right w:val="none" w:sz="0" w:space="0" w:color="auto"/>
          </w:divBdr>
        </w:div>
        <w:div w:id="196964436">
          <w:marLeft w:val="0"/>
          <w:marRight w:val="0"/>
          <w:marTop w:val="0"/>
          <w:marBottom w:val="0"/>
          <w:divBdr>
            <w:top w:val="none" w:sz="0" w:space="0" w:color="auto"/>
            <w:left w:val="none" w:sz="0" w:space="0" w:color="auto"/>
            <w:bottom w:val="none" w:sz="0" w:space="0" w:color="auto"/>
            <w:right w:val="none" w:sz="0" w:space="0" w:color="auto"/>
          </w:divBdr>
        </w:div>
        <w:div w:id="1845510036">
          <w:marLeft w:val="0"/>
          <w:marRight w:val="0"/>
          <w:marTop w:val="0"/>
          <w:marBottom w:val="0"/>
          <w:divBdr>
            <w:top w:val="none" w:sz="0" w:space="0" w:color="auto"/>
            <w:left w:val="none" w:sz="0" w:space="0" w:color="auto"/>
            <w:bottom w:val="none" w:sz="0" w:space="0" w:color="auto"/>
            <w:right w:val="none" w:sz="0" w:space="0" w:color="auto"/>
          </w:divBdr>
        </w:div>
        <w:div w:id="617494533">
          <w:marLeft w:val="0"/>
          <w:marRight w:val="0"/>
          <w:marTop w:val="0"/>
          <w:marBottom w:val="0"/>
          <w:divBdr>
            <w:top w:val="none" w:sz="0" w:space="0" w:color="auto"/>
            <w:left w:val="none" w:sz="0" w:space="0" w:color="auto"/>
            <w:bottom w:val="none" w:sz="0" w:space="0" w:color="auto"/>
            <w:right w:val="none" w:sz="0" w:space="0" w:color="auto"/>
          </w:divBdr>
        </w:div>
        <w:div w:id="775444081">
          <w:marLeft w:val="0"/>
          <w:marRight w:val="0"/>
          <w:marTop w:val="0"/>
          <w:marBottom w:val="0"/>
          <w:divBdr>
            <w:top w:val="none" w:sz="0" w:space="0" w:color="auto"/>
            <w:left w:val="none" w:sz="0" w:space="0" w:color="auto"/>
            <w:bottom w:val="none" w:sz="0" w:space="0" w:color="auto"/>
            <w:right w:val="none" w:sz="0" w:space="0" w:color="auto"/>
          </w:divBdr>
        </w:div>
        <w:div w:id="1087657360">
          <w:marLeft w:val="0"/>
          <w:marRight w:val="0"/>
          <w:marTop w:val="0"/>
          <w:marBottom w:val="0"/>
          <w:divBdr>
            <w:top w:val="none" w:sz="0" w:space="0" w:color="auto"/>
            <w:left w:val="none" w:sz="0" w:space="0" w:color="auto"/>
            <w:bottom w:val="none" w:sz="0" w:space="0" w:color="auto"/>
            <w:right w:val="none" w:sz="0" w:space="0" w:color="auto"/>
          </w:divBdr>
        </w:div>
        <w:div w:id="602298150">
          <w:marLeft w:val="0"/>
          <w:marRight w:val="0"/>
          <w:marTop w:val="0"/>
          <w:marBottom w:val="0"/>
          <w:divBdr>
            <w:top w:val="none" w:sz="0" w:space="0" w:color="auto"/>
            <w:left w:val="none" w:sz="0" w:space="0" w:color="auto"/>
            <w:bottom w:val="none" w:sz="0" w:space="0" w:color="auto"/>
            <w:right w:val="none" w:sz="0" w:space="0" w:color="auto"/>
          </w:divBdr>
        </w:div>
        <w:div w:id="2096899219">
          <w:marLeft w:val="0"/>
          <w:marRight w:val="0"/>
          <w:marTop w:val="0"/>
          <w:marBottom w:val="0"/>
          <w:divBdr>
            <w:top w:val="none" w:sz="0" w:space="0" w:color="auto"/>
            <w:left w:val="none" w:sz="0" w:space="0" w:color="auto"/>
            <w:bottom w:val="none" w:sz="0" w:space="0" w:color="auto"/>
            <w:right w:val="none" w:sz="0" w:space="0" w:color="auto"/>
          </w:divBdr>
        </w:div>
        <w:div w:id="975182160">
          <w:marLeft w:val="0"/>
          <w:marRight w:val="0"/>
          <w:marTop w:val="0"/>
          <w:marBottom w:val="0"/>
          <w:divBdr>
            <w:top w:val="none" w:sz="0" w:space="0" w:color="auto"/>
            <w:left w:val="none" w:sz="0" w:space="0" w:color="auto"/>
            <w:bottom w:val="none" w:sz="0" w:space="0" w:color="auto"/>
            <w:right w:val="none" w:sz="0" w:space="0" w:color="auto"/>
          </w:divBdr>
        </w:div>
        <w:div w:id="247809646">
          <w:marLeft w:val="0"/>
          <w:marRight w:val="0"/>
          <w:marTop w:val="0"/>
          <w:marBottom w:val="0"/>
          <w:divBdr>
            <w:top w:val="none" w:sz="0" w:space="0" w:color="auto"/>
            <w:left w:val="none" w:sz="0" w:space="0" w:color="auto"/>
            <w:bottom w:val="none" w:sz="0" w:space="0" w:color="auto"/>
            <w:right w:val="none" w:sz="0" w:space="0" w:color="auto"/>
          </w:divBdr>
        </w:div>
        <w:div w:id="2027555969">
          <w:marLeft w:val="0"/>
          <w:marRight w:val="0"/>
          <w:marTop w:val="0"/>
          <w:marBottom w:val="0"/>
          <w:divBdr>
            <w:top w:val="none" w:sz="0" w:space="0" w:color="auto"/>
            <w:left w:val="none" w:sz="0" w:space="0" w:color="auto"/>
            <w:bottom w:val="none" w:sz="0" w:space="0" w:color="auto"/>
            <w:right w:val="none" w:sz="0" w:space="0" w:color="auto"/>
          </w:divBdr>
        </w:div>
        <w:div w:id="987320169">
          <w:marLeft w:val="0"/>
          <w:marRight w:val="0"/>
          <w:marTop w:val="0"/>
          <w:marBottom w:val="0"/>
          <w:divBdr>
            <w:top w:val="none" w:sz="0" w:space="0" w:color="auto"/>
            <w:left w:val="none" w:sz="0" w:space="0" w:color="auto"/>
            <w:bottom w:val="none" w:sz="0" w:space="0" w:color="auto"/>
            <w:right w:val="none" w:sz="0" w:space="0" w:color="auto"/>
          </w:divBdr>
        </w:div>
        <w:div w:id="2098360644">
          <w:marLeft w:val="0"/>
          <w:marRight w:val="0"/>
          <w:marTop w:val="0"/>
          <w:marBottom w:val="0"/>
          <w:divBdr>
            <w:top w:val="none" w:sz="0" w:space="0" w:color="auto"/>
            <w:left w:val="none" w:sz="0" w:space="0" w:color="auto"/>
            <w:bottom w:val="none" w:sz="0" w:space="0" w:color="auto"/>
            <w:right w:val="none" w:sz="0" w:space="0" w:color="auto"/>
          </w:divBdr>
        </w:div>
        <w:div w:id="1854029677">
          <w:marLeft w:val="0"/>
          <w:marRight w:val="0"/>
          <w:marTop w:val="0"/>
          <w:marBottom w:val="0"/>
          <w:divBdr>
            <w:top w:val="none" w:sz="0" w:space="0" w:color="auto"/>
            <w:left w:val="none" w:sz="0" w:space="0" w:color="auto"/>
            <w:bottom w:val="none" w:sz="0" w:space="0" w:color="auto"/>
            <w:right w:val="none" w:sz="0" w:space="0" w:color="auto"/>
          </w:divBdr>
        </w:div>
        <w:div w:id="1560364113">
          <w:marLeft w:val="0"/>
          <w:marRight w:val="0"/>
          <w:marTop w:val="0"/>
          <w:marBottom w:val="0"/>
          <w:divBdr>
            <w:top w:val="none" w:sz="0" w:space="0" w:color="auto"/>
            <w:left w:val="none" w:sz="0" w:space="0" w:color="auto"/>
            <w:bottom w:val="none" w:sz="0" w:space="0" w:color="auto"/>
            <w:right w:val="none" w:sz="0" w:space="0" w:color="auto"/>
          </w:divBdr>
        </w:div>
        <w:div w:id="2080784936">
          <w:marLeft w:val="0"/>
          <w:marRight w:val="0"/>
          <w:marTop w:val="0"/>
          <w:marBottom w:val="0"/>
          <w:divBdr>
            <w:top w:val="none" w:sz="0" w:space="0" w:color="auto"/>
            <w:left w:val="none" w:sz="0" w:space="0" w:color="auto"/>
            <w:bottom w:val="none" w:sz="0" w:space="0" w:color="auto"/>
            <w:right w:val="none" w:sz="0" w:space="0" w:color="auto"/>
          </w:divBdr>
        </w:div>
        <w:div w:id="102766554">
          <w:marLeft w:val="0"/>
          <w:marRight w:val="0"/>
          <w:marTop w:val="0"/>
          <w:marBottom w:val="0"/>
          <w:divBdr>
            <w:top w:val="none" w:sz="0" w:space="0" w:color="auto"/>
            <w:left w:val="none" w:sz="0" w:space="0" w:color="auto"/>
            <w:bottom w:val="none" w:sz="0" w:space="0" w:color="auto"/>
            <w:right w:val="none" w:sz="0" w:space="0" w:color="auto"/>
          </w:divBdr>
        </w:div>
        <w:div w:id="573123504">
          <w:marLeft w:val="0"/>
          <w:marRight w:val="0"/>
          <w:marTop w:val="0"/>
          <w:marBottom w:val="0"/>
          <w:divBdr>
            <w:top w:val="none" w:sz="0" w:space="0" w:color="auto"/>
            <w:left w:val="none" w:sz="0" w:space="0" w:color="auto"/>
            <w:bottom w:val="none" w:sz="0" w:space="0" w:color="auto"/>
            <w:right w:val="none" w:sz="0" w:space="0" w:color="auto"/>
          </w:divBdr>
        </w:div>
        <w:div w:id="552930572">
          <w:marLeft w:val="0"/>
          <w:marRight w:val="0"/>
          <w:marTop w:val="0"/>
          <w:marBottom w:val="0"/>
          <w:divBdr>
            <w:top w:val="none" w:sz="0" w:space="0" w:color="auto"/>
            <w:left w:val="none" w:sz="0" w:space="0" w:color="auto"/>
            <w:bottom w:val="none" w:sz="0" w:space="0" w:color="auto"/>
            <w:right w:val="none" w:sz="0" w:space="0" w:color="auto"/>
          </w:divBdr>
        </w:div>
        <w:div w:id="43607841">
          <w:marLeft w:val="0"/>
          <w:marRight w:val="0"/>
          <w:marTop w:val="0"/>
          <w:marBottom w:val="0"/>
          <w:divBdr>
            <w:top w:val="none" w:sz="0" w:space="0" w:color="auto"/>
            <w:left w:val="none" w:sz="0" w:space="0" w:color="auto"/>
            <w:bottom w:val="none" w:sz="0" w:space="0" w:color="auto"/>
            <w:right w:val="none" w:sz="0" w:space="0" w:color="auto"/>
          </w:divBdr>
        </w:div>
        <w:div w:id="199241748">
          <w:marLeft w:val="0"/>
          <w:marRight w:val="0"/>
          <w:marTop w:val="0"/>
          <w:marBottom w:val="0"/>
          <w:divBdr>
            <w:top w:val="none" w:sz="0" w:space="0" w:color="auto"/>
            <w:left w:val="none" w:sz="0" w:space="0" w:color="auto"/>
            <w:bottom w:val="none" w:sz="0" w:space="0" w:color="auto"/>
            <w:right w:val="none" w:sz="0" w:space="0" w:color="auto"/>
          </w:divBdr>
        </w:div>
        <w:div w:id="1927423625">
          <w:marLeft w:val="0"/>
          <w:marRight w:val="0"/>
          <w:marTop w:val="0"/>
          <w:marBottom w:val="0"/>
          <w:divBdr>
            <w:top w:val="none" w:sz="0" w:space="0" w:color="auto"/>
            <w:left w:val="none" w:sz="0" w:space="0" w:color="auto"/>
            <w:bottom w:val="none" w:sz="0" w:space="0" w:color="auto"/>
            <w:right w:val="none" w:sz="0" w:space="0" w:color="auto"/>
          </w:divBdr>
        </w:div>
        <w:div w:id="2022852529">
          <w:marLeft w:val="0"/>
          <w:marRight w:val="0"/>
          <w:marTop w:val="0"/>
          <w:marBottom w:val="0"/>
          <w:divBdr>
            <w:top w:val="none" w:sz="0" w:space="0" w:color="auto"/>
            <w:left w:val="none" w:sz="0" w:space="0" w:color="auto"/>
            <w:bottom w:val="none" w:sz="0" w:space="0" w:color="auto"/>
            <w:right w:val="none" w:sz="0" w:space="0" w:color="auto"/>
          </w:divBdr>
        </w:div>
        <w:div w:id="1764104094">
          <w:marLeft w:val="0"/>
          <w:marRight w:val="0"/>
          <w:marTop w:val="0"/>
          <w:marBottom w:val="0"/>
          <w:divBdr>
            <w:top w:val="none" w:sz="0" w:space="0" w:color="auto"/>
            <w:left w:val="none" w:sz="0" w:space="0" w:color="auto"/>
            <w:bottom w:val="none" w:sz="0" w:space="0" w:color="auto"/>
            <w:right w:val="none" w:sz="0" w:space="0" w:color="auto"/>
          </w:divBdr>
        </w:div>
        <w:div w:id="421031781">
          <w:marLeft w:val="0"/>
          <w:marRight w:val="0"/>
          <w:marTop w:val="0"/>
          <w:marBottom w:val="0"/>
          <w:divBdr>
            <w:top w:val="none" w:sz="0" w:space="0" w:color="auto"/>
            <w:left w:val="none" w:sz="0" w:space="0" w:color="auto"/>
            <w:bottom w:val="none" w:sz="0" w:space="0" w:color="auto"/>
            <w:right w:val="none" w:sz="0" w:space="0" w:color="auto"/>
          </w:divBdr>
        </w:div>
        <w:div w:id="756245216">
          <w:marLeft w:val="0"/>
          <w:marRight w:val="0"/>
          <w:marTop w:val="0"/>
          <w:marBottom w:val="0"/>
          <w:divBdr>
            <w:top w:val="none" w:sz="0" w:space="0" w:color="auto"/>
            <w:left w:val="none" w:sz="0" w:space="0" w:color="auto"/>
            <w:bottom w:val="none" w:sz="0" w:space="0" w:color="auto"/>
            <w:right w:val="none" w:sz="0" w:space="0" w:color="auto"/>
          </w:divBdr>
        </w:div>
        <w:div w:id="1170484255">
          <w:marLeft w:val="0"/>
          <w:marRight w:val="0"/>
          <w:marTop w:val="0"/>
          <w:marBottom w:val="0"/>
          <w:divBdr>
            <w:top w:val="none" w:sz="0" w:space="0" w:color="auto"/>
            <w:left w:val="none" w:sz="0" w:space="0" w:color="auto"/>
            <w:bottom w:val="none" w:sz="0" w:space="0" w:color="auto"/>
            <w:right w:val="none" w:sz="0" w:space="0" w:color="auto"/>
          </w:divBdr>
        </w:div>
        <w:div w:id="981160506">
          <w:marLeft w:val="0"/>
          <w:marRight w:val="0"/>
          <w:marTop w:val="0"/>
          <w:marBottom w:val="0"/>
          <w:divBdr>
            <w:top w:val="none" w:sz="0" w:space="0" w:color="auto"/>
            <w:left w:val="none" w:sz="0" w:space="0" w:color="auto"/>
            <w:bottom w:val="none" w:sz="0" w:space="0" w:color="auto"/>
            <w:right w:val="none" w:sz="0" w:space="0" w:color="auto"/>
          </w:divBdr>
        </w:div>
        <w:div w:id="710886015">
          <w:marLeft w:val="0"/>
          <w:marRight w:val="0"/>
          <w:marTop w:val="0"/>
          <w:marBottom w:val="0"/>
          <w:divBdr>
            <w:top w:val="none" w:sz="0" w:space="0" w:color="auto"/>
            <w:left w:val="none" w:sz="0" w:space="0" w:color="auto"/>
            <w:bottom w:val="none" w:sz="0" w:space="0" w:color="auto"/>
            <w:right w:val="none" w:sz="0" w:space="0" w:color="auto"/>
          </w:divBdr>
        </w:div>
        <w:div w:id="384454175">
          <w:marLeft w:val="0"/>
          <w:marRight w:val="0"/>
          <w:marTop w:val="0"/>
          <w:marBottom w:val="0"/>
          <w:divBdr>
            <w:top w:val="none" w:sz="0" w:space="0" w:color="auto"/>
            <w:left w:val="none" w:sz="0" w:space="0" w:color="auto"/>
            <w:bottom w:val="none" w:sz="0" w:space="0" w:color="auto"/>
            <w:right w:val="none" w:sz="0" w:space="0" w:color="auto"/>
          </w:divBdr>
        </w:div>
        <w:div w:id="576288958">
          <w:marLeft w:val="0"/>
          <w:marRight w:val="0"/>
          <w:marTop w:val="0"/>
          <w:marBottom w:val="0"/>
          <w:divBdr>
            <w:top w:val="none" w:sz="0" w:space="0" w:color="auto"/>
            <w:left w:val="none" w:sz="0" w:space="0" w:color="auto"/>
            <w:bottom w:val="none" w:sz="0" w:space="0" w:color="auto"/>
            <w:right w:val="none" w:sz="0" w:space="0" w:color="auto"/>
          </w:divBdr>
        </w:div>
        <w:div w:id="1322153953">
          <w:marLeft w:val="0"/>
          <w:marRight w:val="0"/>
          <w:marTop w:val="0"/>
          <w:marBottom w:val="0"/>
          <w:divBdr>
            <w:top w:val="none" w:sz="0" w:space="0" w:color="auto"/>
            <w:left w:val="none" w:sz="0" w:space="0" w:color="auto"/>
            <w:bottom w:val="none" w:sz="0" w:space="0" w:color="auto"/>
            <w:right w:val="none" w:sz="0" w:space="0" w:color="auto"/>
          </w:divBdr>
        </w:div>
        <w:div w:id="787502815">
          <w:marLeft w:val="0"/>
          <w:marRight w:val="0"/>
          <w:marTop w:val="0"/>
          <w:marBottom w:val="0"/>
          <w:divBdr>
            <w:top w:val="none" w:sz="0" w:space="0" w:color="auto"/>
            <w:left w:val="none" w:sz="0" w:space="0" w:color="auto"/>
            <w:bottom w:val="none" w:sz="0" w:space="0" w:color="auto"/>
            <w:right w:val="none" w:sz="0" w:space="0" w:color="auto"/>
          </w:divBdr>
        </w:div>
        <w:div w:id="1002779246">
          <w:marLeft w:val="0"/>
          <w:marRight w:val="0"/>
          <w:marTop w:val="0"/>
          <w:marBottom w:val="0"/>
          <w:divBdr>
            <w:top w:val="none" w:sz="0" w:space="0" w:color="auto"/>
            <w:left w:val="none" w:sz="0" w:space="0" w:color="auto"/>
            <w:bottom w:val="none" w:sz="0" w:space="0" w:color="auto"/>
            <w:right w:val="none" w:sz="0" w:space="0" w:color="auto"/>
          </w:divBdr>
        </w:div>
        <w:div w:id="742990691">
          <w:marLeft w:val="0"/>
          <w:marRight w:val="0"/>
          <w:marTop w:val="0"/>
          <w:marBottom w:val="0"/>
          <w:divBdr>
            <w:top w:val="none" w:sz="0" w:space="0" w:color="auto"/>
            <w:left w:val="none" w:sz="0" w:space="0" w:color="auto"/>
            <w:bottom w:val="none" w:sz="0" w:space="0" w:color="auto"/>
            <w:right w:val="none" w:sz="0" w:space="0" w:color="auto"/>
          </w:divBdr>
        </w:div>
        <w:div w:id="264313951">
          <w:marLeft w:val="0"/>
          <w:marRight w:val="0"/>
          <w:marTop w:val="0"/>
          <w:marBottom w:val="0"/>
          <w:divBdr>
            <w:top w:val="none" w:sz="0" w:space="0" w:color="auto"/>
            <w:left w:val="none" w:sz="0" w:space="0" w:color="auto"/>
            <w:bottom w:val="none" w:sz="0" w:space="0" w:color="auto"/>
            <w:right w:val="none" w:sz="0" w:space="0" w:color="auto"/>
          </w:divBdr>
        </w:div>
        <w:div w:id="2114393772">
          <w:marLeft w:val="0"/>
          <w:marRight w:val="0"/>
          <w:marTop w:val="0"/>
          <w:marBottom w:val="0"/>
          <w:divBdr>
            <w:top w:val="none" w:sz="0" w:space="0" w:color="auto"/>
            <w:left w:val="none" w:sz="0" w:space="0" w:color="auto"/>
            <w:bottom w:val="none" w:sz="0" w:space="0" w:color="auto"/>
            <w:right w:val="none" w:sz="0" w:space="0" w:color="auto"/>
          </w:divBdr>
        </w:div>
        <w:div w:id="1522426702">
          <w:marLeft w:val="0"/>
          <w:marRight w:val="0"/>
          <w:marTop w:val="0"/>
          <w:marBottom w:val="0"/>
          <w:divBdr>
            <w:top w:val="none" w:sz="0" w:space="0" w:color="auto"/>
            <w:left w:val="none" w:sz="0" w:space="0" w:color="auto"/>
            <w:bottom w:val="none" w:sz="0" w:space="0" w:color="auto"/>
            <w:right w:val="none" w:sz="0" w:space="0" w:color="auto"/>
          </w:divBdr>
        </w:div>
        <w:div w:id="1174228400">
          <w:marLeft w:val="0"/>
          <w:marRight w:val="0"/>
          <w:marTop w:val="0"/>
          <w:marBottom w:val="0"/>
          <w:divBdr>
            <w:top w:val="none" w:sz="0" w:space="0" w:color="auto"/>
            <w:left w:val="none" w:sz="0" w:space="0" w:color="auto"/>
            <w:bottom w:val="none" w:sz="0" w:space="0" w:color="auto"/>
            <w:right w:val="none" w:sz="0" w:space="0" w:color="auto"/>
          </w:divBdr>
        </w:div>
        <w:div w:id="112553090">
          <w:marLeft w:val="0"/>
          <w:marRight w:val="0"/>
          <w:marTop w:val="0"/>
          <w:marBottom w:val="0"/>
          <w:divBdr>
            <w:top w:val="none" w:sz="0" w:space="0" w:color="auto"/>
            <w:left w:val="none" w:sz="0" w:space="0" w:color="auto"/>
            <w:bottom w:val="none" w:sz="0" w:space="0" w:color="auto"/>
            <w:right w:val="none" w:sz="0" w:space="0" w:color="auto"/>
          </w:divBdr>
        </w:div>
        <w:div w:id="1365330984">
          <w:marLeft w:val="0"/>
          <w:marRight w:val="0"/>
          <w:marTop w:val="0"/>
          <w:marBottom w:val="0"/>
          <w:divBdr>
            <w:top w:val="none" w:sz="0" w:space="0" w:color="auto"/>
            <w:left w:val="none" w:sz="0" w:space="0" w:color="auto"/>
            <w:bottom w:val="none" w:sz="0" w:space="0" w:color="auto"/>
            <w:right w:val="none" w:sz="0" w:space="0" w:color="auto"/>
          </w:divBdr>
        </w:div>
        <w:div w:id="1023482751">
          <w:marLeft w:val="0"/>
          <w:marRight w:val="0"/>
          <w:marTop w:val="0"/>
          <w:marBottom w:val="0"/>
          <w:divBdr>
            <w:top w:val="none" w:sz="0" w:space="0" w:color="auto"/>
            <w:left w:val="none" w:sz="0" w:space="0" w:color="auto"/>
            <w:bottom w:val="none" w:sz="0" w:space="0" w:color="auto"/>
            <w:right w:val="none" w:sz="0" w:space="0" w:color="auto"/>
          </w:divBdr>
        </w:div>
        <w:div w:id="1522236099">
          <w:marLeft w:val="0"/>
          <w:marRight w:val="0"/>
          <w:marTop w:val="0"/>
          <w:marBottom w:val="0"/>
          <w:divBdr>
            <w:top w:val="none" w:sz="0" w:space="0" w:color="auto"/>
            <w:left w:val="none" w:sz="0" w:space="0" w:color="auto"/>
            <w:bottom w:val="none" w:sz="0" w:space="0" w:color="auto"/>
            <w:right w:val="none" w:sz="0" w:space="0" w:color="auto"/>
          </w:divBdr>
        </w:div>
        <w:div w:id="989675848">
          <w:marLeft w:val="0"/>
          <w:marRight w:val="0"/>
          <w:marTop w:val="0"/>
          <w:marBottom w:val="0"/>
          <w:divBdr>
            <w:top w:val="none" w:sz="0" w:space="0" w:color="auto"/>
            <w:left w:val="none" w:sz="0" w:space="0" w:color="auto"/>
            <w:bottom w:val="none" w:sz="0" w:space="0" w:color="auto"/>
            <w:right w:val="none" w:sz="0" w:space="0" w:color="auto"/>
          </w:divBdr>
        </w:div>
        <w:div w:id="347946747">
          <w:marLeft w:val="0"/>
          <w:marRight w:val="0"/>
          <w:marTop w:val="0"/>
          <w:marBottom w:val="0"/>
          <w:divBdr>
            <w:top w:val="none" w:sz="0" w:space="0" w:color="auto"/>
            <w:left w:val="none" w:sz="0" w:space="0" w:color="auto"/>
            <w:bottom w:val="none" w:sz="0" w:space="0" w:color="auto"/>
            <w:right w:val="none" w:sz="0" w:space="0" w:color="auto"/>
          </w:divBdr>
        </w:div>
        <w:div w:id="734625516">
          <w:marLeft w:val="0"/>
          <w:marRight w:val="0"/>
          <w:marTop w:val="0"/>
          <w:marBottom w:val="0"/>
          <w:divBdr>
            <w:top w:val="none" w:sz="0" w:space="0" w:color="auto"/>
            <w:left w:val="none" w:sz="0" w:space="0" w:color="auto"/>
            <w:bottom w:val="none" w:sz="0" w:space="0" w:color="auto"/>
            <w:right w:val="none" w:sz="0" w:space="0" w:color="auto"/>
          </w:divBdr>
        </w:div>
        <w:div w:id="1156799851">
          <w:marLeft w:val="0"/>
          <w:marRight w:val="0"/>
          <w:marTop w:val="0"/>
          <w:marBottom w:val="0"/>
          <w:divBdr>
            <w:top w:val="none" w:sz="0" w:space="0" w:color="auto"/>
            <w:left w:val="none" w:sz="0" w:space="0" w:color="auto"/>
            <w:bottom w:val="none" w:sz="0" w:space="0" w:color="auto"/>
            <w:right w:val="none" w:sz="0" w:space="0" w:color="auto"/>
          </w:divBdr>
        </w:div>
        <w:div w:id="2145344135">
          <w:marLeft w:val="0"/>
          <w:marRight w:val="0"/>
          <w:marTop w:val="0"/>
          <w:marBottom w:val="0"/>
          <w:divBdr>
            <w:top w:val="none" w:sz="0" w:space="0" w:color="auto"/>
            <w:left w:val="none" w:sz="0" w:space="0" w:color="auto"/>
            <w:bottom w:val="none" w:sz="0" w:space="0" w:color="auto"/>
            <w:right w:val="none" w:sz="0" w:space="0" w:color="auto"/>
          </w:divBdr>
        </w:div>
        <w:div w:id="270360408">
          <w:marLeft w:val="0"/>
          <w:marRight w:val="0"/>
          <w:marTop w:val="0"/>
          <w:marBottom w:val="0"/>
          <w:divBdr>
            <w:top w:val="none" w:sz="0" w:space="0" w:color="auto"/>
            <w:left w:val="none" w:sz="0" w:space="0" w:color="auto"/>
            <w:bottom w:val="none" w:sz="0" w:space="0" w:color="auto"/>
            <w:right w:val="none" w:sz="0" w:space="0" w:color="auto"/>
          </w:divBdr>
        </w:div>
        <w:div w:id="1402603622">
          <w:marLeft w:val="0"/>
          <w:marRight w:val="0"/>
          <w:marTop w:val="0"/>
          <w:marBottom w:val="0"/>
          <w:divBdr>
            <w:top w:val="none" w:sz="0" w:space="0" w:color="auto"/>
            <w:left w:val="none" w:sz="0" w:space="0" w:color="auto"/>
            <w:bottom w:val="none" w:sz="0" w:space="0" w:color="auto"/>
            <w:right w:val="none" w:sz="0" w:space="0" w:color="auto"/>
          </w:divBdr>
        </w:div>
        <w:div w:id="1211111137">
          <w:marLeft w:val="0"/>
          <w:marRight w:val="0"/>
          <w:marTop w:val="0"/>
          <w:marBottom w:val="0"/>
          <w:divBdr>
            <w:top w:val="none" w:sz="0" w:space="0" w:color="auto"/>
            <w:left w:val="none" w:sz="0" w:space="0" w:color="auto"/>
            <w:bottom w:val="none" w:sz="0" w:space="0" w:color="auto"/>
            <w:right w:val="none" w:sz="0" w:space="0" w:color="auto"/>
          </w:divBdr>
        </w:div>
        <w:div w:id="1348216843">
          <w:marLeft w:val="0"/>
          <w:marRight w:val="0"/>
          <w:marTop w:val="0"/>
          <w:marBottom w:val="0"/>
          <w:divBdr>
            <w:top w:val="none" w:sz="0" w:space="0" w:color="auto"/>
            <w:left w:val="none" w:sz="0" w:space="0" w:color="auto"/>
            <w:bottom w:val="none" w:sz="0" w:space="0" w:color="auto"/>
            <w:right w:val="none" w:sz="0" w:space="0" w:color="auto"/>
          </w:divBdr>
        </w:div>
        <w:div w:id="1001660451">
          <w:marLeft w:val="0"/>
          <w:marRight w:val="0"/>
          <w:marTop w:val="0"/>
          <w:marBottom w:val="0"/>
          <w:divBdr>
            <w:top w:val="none" w:sz="0" w:space="0" w:color="auto"/>
            <w:left w:val="none" w:sz="0" w:space="0" w:color="auto"/>
            <w:bottom w:val="none" w:sz="0" w:space="0" w:color="auto"/>
            <w:right w:val="none" w:sz="0" w:space="0" w:color="auto"/>
          </w:divBdr>
        </w:div>
        <w:div w:id="1767338628">
          <w:marLeft w:val="0"/>
          <w:marRight w:val="0"/>
          <w:marTop w:val="0"/>
          <w:marBottom w:val="0"/>
          <w:divBdr>
            <w:top w:val="none" w:sz="0" w:space="0" w:color="auto"/>
            <w:left w:val="none" w:sz="0" w:space="0" w:color="auto"/>
            <w:bottom w:val="none" w:sz="0" w:space="0" w:color="auto"/>
            <w:right w:val="none" w:sz="0" w:space="0" w:color="auto"/>
          </w:divBdr>
        </w:div>
        <w:div w:id="1668245227">
          <w:marLeft w:val="0"/>
          <w:marRight w:val="0"/>
          <w:marTop w:val="0"/>
          <w:marBottom w:val="0"/>
          <w:divBdr>
            <w:top w:val="none" w:sz="0" w:space="0" w:color="auto"/>
            <w:left w:val="none" w:sz="0" w:space="0" w:color="auto"/>
            <w:bottom w:val="none" w:sz="0" w:space="0" w:color="auto"/>
            <w:right w:val="none" w:sz="0" w:space="0" w:color="auto"/>
          </w:divBdr>
        </w:div>
        <w:div w:id="1890532688">
          <w:marLeft w:val="0"/>
          <w:marRight w:val="0"/>
          <w:marTop w:val="0"/>
          <w:marBottom w:val="0"/>
          <w:divBdr>
            <w:top w:val="none" w:sz="0" w:space="0" w:color="auto"/>
            <w:left w:val="none" w:sz="0" w:space="0" w:color="auto"/>
            <w:bottom w:val="none" w:sz="0" w:space="0" w:color="auto"/>
            <w:right w:val="none" w:sz="0" w:space="0" w:color="auto"/>
          </w:divBdr>
        </w:div>
        <w:div w:id="847209786">
          <w:marLeft w:val="0"/>
          <w:marRight w:val="0"/>
          <w:marTop w:val="0"/>
          <w:marBottom w:val="0"/>
          <w:divBdr>
            <w:top w:val="none" w:sz="0" w:space="0" w:color="auto"/>
            <w:left w:val="none" w:sz="0" w:space="0" w:color="auto"/>
            <w:bottom w:val="none" w:sz="0" w:space="0" w:color="auto"/>
            <w:right w:val="none" w:sz="0" w:space="0" w:color="auto"/>
          </w:divBdr>
        </w:div>
        <w:div w:id="405882731">
          <w:marLeft w:val="0"/>
          <w:marRight w:val="0"/>
          <w:marTop w:val="0"/>
          <w:marBottom w:val="0"/>
          <w:divBdr>
            <w:top w:val="none" w:sz="0" w:space="0" w:color="auto"/>
            <w:left w:val="none" w:sz="0" w:space="0" w:color="auto"/>
            <w:bottom w:val="none" w:sz="0" w:space="0" w:color="auto"/>
            <w:right w:val="none" w:sz="0" w:space="0" w:color="auto"/>
          </w:divBdr>
        </w:div>
        <w:div w:id="2137676726">
          <w:marLeft w:val="0"/>
          <w:marRight w:val="0"/>
          <w:marTop w:val="0"/>
          <w:marBottom w:val="0"/>
          <w:divBdr>
            <w:top w:val="none" w:sz="0" w:space="0" w:color="auto"/>
            <w:left w:val="none" w:sz="0" w:space="0" w:color="auto"/>
            <w:bottom w:val="none" w:sz="0" w:space="0" w:color="auto"/>
            <w:right w:val="none" w:sz="0" w:space="0" w:color="auto"/>
          </w:divBdr>
        </w:div>
        <w:div w:id="1752727239">
          <w:marLeft w:val="0"/>
          <w:marRight w:val="0"/>
          <w:marTop w:val="0"/>
          <w:marBottom w:val="0"/>
          <w:divBdr>
            <w:top w:val="none" w:sz="0" w:space="0" w:color="auto"/>
            <w:left w:val="none" w:sz="0" w:space="0" w:color="auto"/>
            <w:bottom w:val="none" w:sz="0" w:space="0" w:color="auto"/>
            <w:right w:val="none" w:sz="0" w:space="0" w:color="auto"/>
          </w:divBdr>
        </w:div>
        <w:div w:id="1250038151">
          <w:marLeft w:val="0"/>
          <w:marRight w:val="0"/>
          <w:marTop w:val="0"/>
          <w:marBottom w:val="0"/>
          <w:divBdr>
            <w:top w:val="none" w:sz="0" w:space="0" w:color="auto"/>
            <w:left w:val="none" w:sz="0" w:space="0" w:color="auto"/>
            <w:bottom w:val="none" w:sz="0" w:space="0" w:color="auto"/>
            <w:right w:val="none" w:sz="0" w:space="0" w:color="auto"/>
          </w:divBdr>
        </w:div>
        <w:div w:id="1925796995">
          <w:marLeft w:val="0"/>
          <w:marRight w:val="0"/>
          <w:marTop w:val="0"/>
          <w:marBottom w:val="0"/>
          <w:divBdr>
            <w:top w:val="none" w:sz="0" w:space="0" w:color="auto"/>
            <w:left w:val="none" w:sz="0" w:space="0" w:color="auto"/>
            <w:bottom w:val="none" w:sz="0" w:space="0" w:color="auto"/>
            <w:right w:val="none" w:sz="0" w:space="0" w:color="auto"/>
          </w:divBdr>
        </w:div>
        <w:div w:id="980772945">
          <w:marLeft w:val="0"/>
          <w:marRight w:val="0"/>
          <w:marTop w:val="0"/>
          <w:marBottom w:val="0"/>
          <w:divBdr>
            <w:top w:val="none" w:sz="0" w:space="0" w:color="auto"/>
            <w:left w:val="none" w:sz="0" w:space="0" w:color="auto"/>
            <w:bottom w:val="none" w:sz="0" w:space="0" w:color="auto"/>
            <w:right w:val="none" w:sz="0" w:space="0" w:color="auto"/>
          </w:divBdr>
        </w:div>
        <w:div w:id="481626733">
          <w:marLeft w:val="0"/>
          <w:marRight w:val="0"/>
          <w:marTop w:val="0"/>
          <w:marBottom w:val="0"/>
          <w:divBdr>
            <w:top w:val="none" w:sz="0" w:space="0" w:color="auto"/>
            <w:left w:val="none" w:sz="0" w:space="0" w:color="auto"/>
            <w:bottom w:val="none" w:sz="0" w:space="0" w:color="auto"/>
            <w:right w:val="none" w:sz="0" w:space="0" w:color="auto"/>
          </w:divBdr>
        </w:div>
        <w:div w:id="1894611815">
          <w:marLeft w:val="0"/>
          <w:marRight w:val="0"/>
          <w:marTop w:val="0"/>
          <w:marBottom w:val="0"/>
          <w:divBdr>
            <w:top w:val="none" w:sz="0" w:space="0" w:color="auto"/>
            <w:left w:val="none" w:sz="0" w:space="0" w:color="auto"/>
            <w:bottom w:val="none" w:sz="0" w:space="0" w:color="auto"/>
            <w:right w:val="none" w:sz="0" w:space="0" w:color="auto"/>
          </w:divBdr>
        </w:div>
        <w:div w:id="1375615058">
          <w:marLeft w:val="0"/>
          <w:marRight w:val="0"/>
          <w:marTop w:val="0"/>
          <w:marBottom w:val="0"/>
          <w:divBdr>
            <w:top w:val="none" w:sz="0" w:space="0" w:color="auto"/>
            <w:left w:val="none" w:sz="0" w:space="0" w:color="auto"/>
            <w:bottom w:val="none" w:sz="0" w:space="0" w:color="auto"/>
            <w:right w:val="none" w:sz="0" w:space="0" w:color="auto"/>
          </w:divBdr>
        </w:div>
        <w:div w:id="1262028009">
          <w:marLeft w:val="0"/>
          <w:marRight w:val="0"/>
          <w:marTop w:val="0"/>
          <w:marBottom w:val="0"/>
          <w:divBdr>
            <w:top w:val="none" w:sz="0" w:space="0" w:color="auto"/>
            <w:left w:val="none" w:sz="0" w:space="0" w:color="auto"/>
            <w:bottom w:val="none" w:sz="0" w:space="0" w:color="auto"/>
            <w:right w:val="none" w:sz="0" w:space="0" w:color="auto"/>
          </w:divBdr>
        </w:div>
        <w:div w:id="1511724767">
          <w:marLeft w:val="0"/>
          <w:marRight w:val="0"/>
          <w:marTop w:val="0"/>
          <w:marBottom w:val="0"/>
          <w:divBdr>
            <w:top w:val="none" w:sz="0" w:space="0" w:color="auto"/>
            <w:left w:val="none" w:sz="0" w:space="0" w:color="auto"/>
            <w:bottom w:val="none" w:sz="0" w:space="0" w:color="auto"/>
            <w:right w:val="none" w:sz="0" w:space="0" w:color="auto"/>
          </w:divBdr>
        </w:div>
        <w:div w:id="2101026407">
          <w:marLeft w:val="0"/>
          <w:marRight w:val="0"/>
          <w:marTop w:val="0"/>
          <w:marBottom w:val="0"/>
          <w:divBdr>
            <w:top w:val="none" w:sz="0" w:space="0" w:color="auto"/>
            <w:left w:val="none" w:sz="0" w:space="0" w:color="auto"/>
            <w:bottom w:val="none" w:sz="0" w:space="0" w:color="auto"/>
            <w:right w:val="none" w:sz="0" w:space="0" w:color="auto"/>
          </w:divBdr>
        </w:div>
        <w:div w:id="1882356988">
          <w:marLeft w:val="0"/>
          <w:marRight w:val="0"/>
          <w:marTop w:val="0"/>
          <w:marBottom w:val="0"/>
          <w:divBdr>
            <w:top w:val="none" w:sz="0" w:space="0" w:color="auto"/>
            <w:left w:val="none" w:sz="0" w:space="0" w:color="auto"/>
            <w:bottom w:val="none" w:sz="0" w:space="0" w:color="auto"/>
            <w:right w:val="none" w:sz="0" w:space="0" w:color="auto"/>
          </w:divBdr>
        </w:div>
        <w:div w:id="2015761734">
          <w:marLeft w:val="0"/>
          <w:marRight w:val="0"/>
          <w:marTop w:val="0"/>
          <w:marBottom w:val="0"/>
          <w:divBdr>
            <w:top w:val="none" w:sz="0" w:space="0" w:color="auto"/>
            <w:left w:val="none" w:sz="0" w:space="0" w:color="auto"/>
            <w:bottom w:val="none" w:sz="0" w:space="0" w:color="auto"/>
            <w:right w:val="none" w:sz="0" w:space="0" w:color="auto"/>
          </w:divBdr>
        </w:div>
        <w:div w:id="936711083">
          <w:marLeft w:val="0"/>
          <w:marRight w:val="0"/>
          <w:marTop w:val="0"/>
          <w:marBottom w:val="0"/>
          <w:divBdr>
            <w:top w:val="none" w:sz="0" w:space="0" w:color="auto"/>
            <w:left w:val="none" w:sz="0" w:space="0" w:color="auto"/>
            <w:bottom w:val="none" w:sz="0" w:space="0" w:color="auto"/>
            <w:right w:val="none" w:sz="0" w:space="0" w:color="auto"/>
          </w:divBdr>
        </w:div>
      </w:divsChild>
    </w:div>
    <w:div w:id="49690365">
      <w:bodyDiv w:val="1"/>
      <w:marLeft w:val="0"/>
      <w:marRight w:val="0"/>
      <w:marTop w:val="0"/>
      <w:marBottom w:val="0"/>
      <w:divBdr>
        <w:top w:val="none" w:sz="0" w:space="0" w:color="auto"/>
        <w:left w:val="none" w:sz="0" w:space="0" w:color="auto"/>
        <w:bottom w:val="none" w:sz="0" w:space="0" w:color="auto"/>
        <w:right w:val="none" w:sz="0" w:space="0" w:color="auto"/>
      </w:divBdr>
    </w:div>
    <w:div w:id="56561637">
      <w:bodyDiv w:val="1"/>
      <w:marLeft w:val="0"/>
      <w:marRight w:val="0"/>
      <w:marTop w:val="0"/>
      <w:marBottom w:val="0"/>
      <w:divBdr>
        <w:top w:val="none" w:sz="0" w:space="0" w:color="auto"/>
        <w:left w:val="none" w:sz="0" w:space="0" w:color="auto"/>
        <w:bottom w:val="none" w:sz="0" w:space="0" w:color="auto"/>
        <w:right w:val="none" w:sz="0" w:space="0" w:color="auto"/>
      </w:divBdr>
    </w:div>
    <w:div w:id="64577008">
      <w:bodyDiv w:val="1"/>
      <w:marLeft w:val="0"/>
      <w:marRight w:val="0"/>
      <w:marTop w:val="0"/>
      <w:marBottom w:val="0"/>
      <w:divBdr>
        <w:top w:val="none" w:sz="0" w:space="0" w:color="auto"/>
        <w:left w:val="none" w:sz="0" w:space="0" w:color="auto"/>
        <w:bottom w:val="none" w:sz="0" w:space="0" w:color="auto"/>
        <w:right w:val="none" w:sz="0" w:space="0" w:color="auto"/>
      </w:divBdr>
    </w:div>
    <w:div w:id="139924538">
      <w:bodyDiv w:val="1"/>
      <w:marLeft w:val="0"/>
      <w:marRight w:val="0"/>
      <w:marTop w:val="0"/>
      <w:marBottom w:val="0"/>
      <w:divBdr>
        <w:top w:val="none" w:sz="0" w:space="0" w:color="auto"/>
        <w:left w:val="none" w:sz="0" w:space="0" w:color="auto"/>
        <w:bottom w:val="none" w:sz="0" w:space="0" w:color="auto"/>
        <w:right w:val="none" w:sz="0" w:space="0" w:color="auto"/>
      </w:divBdr>
    </w:div>
    <w:div w:id="144202705">
      <w:bodyDiv w:val="1"/>
      <w:marLeft w:val="0"/>
      <w:marRight w:val="0"/>
      <w:marTop w:val="0"/>
      <w:marBottom w:val="0"/>
      <w:divBdr>
        <w:top w:val="none" w:sz="0" w:space="0" w:color="auto"/>
        <w:left w:val="none" w:sz="0" w:space="0" w:color="auto"/>
        <w:bottom w:val="none" w:sz="0" w:space="0" w:color="auto"/>
        <w:right w:val="none" w:sz="0" w:space="0" w:color="auto"/>
      </w:divBdr>
    </w:div>
    <w:div w:id="172500175">
      <w:bodyDiv w:val="1"/>
      <w:marLeft w:val="0"/>
      <w:marRight w:val="0"/>
      <w:marTop w:val="0"/>
      <w:marBottom w:val="0"/>
      <w:divBdr>
        <w:top w:val="none" w:sz="0" w:space="0" w:color="auto"/>
        <w:left w:val="none" w:sz="0" w:space="0" w:color="auto"/>
        <w:bottom w:val="none" w:sz="0" w:space="0" w:color="auto"/>
        <w:right w:val="none" w:sz="0" w:space="0" w:color="auto"/>
      </w:divBdr>
    </w:div>
    <w:div w:id="176771365">
      <w:bodyDiv w:val="1"/>
      <w:marLeft w:val="0"/>
      <w:marRight w:val="0"/>
      <w:marTop w:val="0"/>
      <w:marBottom w:val="0"/>
      <w:divBdr>
        <w:top w:val="none" w:sz="0" w:space="0" w:color="auto"/>
        <w:left w:val="none" w:sz="0" w:space="0" w:color="auto"/>
        <w:bottom w:val="none" w:sz="0" w:space="0" w:color="auto"/>
        <w:right w:val="none" w:sz="0" w:space="0" w:color="auto"/>
      </w:divBdr>
      <w:divsChild>
        <w:div w:id="1537353572">
          <w:marLeft w:val="0"/>
          <w:marRight w:val="0"/>
          <w:marTop w:val="0"/>
          <w:marBottom w:val="0"/>
          <w:divBdr>
            <w:top w:val="none" w:sz="0" w:space="0" w:color="auto"/>
            <w:left w:val="none" w:sz="0" w:space="0" w:color="auto"/>
            <w:bottom w:val="none" w:sz="0" w:space="0" w:color="auto"/>
            <w:right w:val="none" w:sz="0" w:space="0" w:color="auto"/>
          </w:divBdr>
        </w:div>
        <w:div w:id="1162693630">
          <w:marLeft w:val="0"/>
          <w:marRight w:val="0"/>
          <w:marTop w:val="0"/>
          <w:marBottom w:val="0"/>
          <w:divBdr>
            <w:top w:val="none" w:sz="0" w:space="0" w:color="auto"/>
            <w:left w:val="none" w:sz="0" w:space="0" w:color="auto"/>
            <w:bottom w:val="none" w:sz="0" w:space="0" w:color="auto"/>
            <w:right w:val="none" w:sz="0" w:space="0" w:color="auto"/>
          </w:divBdr>
        </w:div>
        <w:div w:id="1915696878">
          <w:marLeft w:val="0"/>
          <w:marRight w:val="0"/>
          <w:marTop w:val="0"/>
          <w:marBottom w:val="0"/>
          <w:divBdr>
            <w:top w:val="none" w:sz="0" w:space="0" w:color="auto"/>
            <w:left w:val="none" w:sz="0" w:space="0" w:color="auto"/>
            <w:bottom w:val="none" w:sz="0" w:space="0" w:color="auto"/>
            <w:right w:val="none" w:sz="0" w:space="0" w:color="auto"/>
          </w:divBdr>
        </w:div>
        <w:div w:id="1373112298">
          <w:marLeft w:val="0"/>
          <w:marRight w:val="0"/>
          <w:marTop w:val="0"/>
          <w:marBottom w:val="0"/>
          <w:divBdr>
            <w:top w:val="none" w:sz="0" w:space="0" w:color="auto"/>
            <w:left w:val="none" w:sz="0" w:space="0" w:color="auto"/>
            <w:bottom w:val="none" w:sz="0" w:space="0" w:color="auto"/>
            <w:right w:val="none" w:sz="0" w:space="0" w:color="auto"/>
          </w:divBdr>
        </w:div>
        <w:div w:id="786778965">
          <w:marLeft w:val="0"/>
          <w:marRight w:val="0"/>
          <w:marTop w:val="0"/>
          <w:marBottom w:val="0"/>
          <w:divBdr>
            <w:top w:val="none" w:sz="0" w:space="0" w:color="auto"/>
            <w:left w:val="none" w:sz="0" w:space="0" w:color="auto"/>
            <w:bottom w:val="none" w:sz="0" w:space="0" w:color="auto"/>
            <w:right w:val="none" w:sz="0" w:space="0" w:color="auto"/>
          </w:divBdr>
        </w:div>
        <w:div w:id="284580875">
          <w:marLeft w:val="0"/>
          <w:marRight w:val="0"/>
          <w:marTop w:val="0"/>
          <w:marBottom w:val="0"/>
          <w:divBdr>
            <w:top w:val="none" w:sz="0" w:space="0" w:color="auto"/>
            <w:left w:val="none" w:sz="0" w:space="0" w:color="auto"/>
            <w:bottom w:val="none" w:sz="0" w:space="0" w:color="auto"/>
            <w:right w:val="none" w:sz="0" w:space="0" w:color="auto"/>
          </w:divBdr>
        </w:div>
        <w:div w:id="1110129633">
          <w:marLeft w:val="0"/>
          <w:marRight w:val="0"/>
          <w:marTop w:val="0"/>
          <w:marBottom w:val="0"/>
          <w:divBdr>
            <w:top w:val="none" w:sz="0" w:space="0" w:color="auto"/>
            <w:left w:val="none" w:sz="0" w:space="0" w:color="auto"/>
            <w:bottom w:val="none" w:sz="0" w:space="0" w:color="auto"/>
            <w:right w:val="none" w:sz="0" w:space="0" w:color="auto"/>
          </w:divBdr>
        </w:div>
        <w:div w:id="1111701925">
          <w:marLeft w:val="0"/>
          <w:marRight w:val="0"/>
          <w:marTop w:val="0"/>
          <w:marBottom w:val="0"/>
          <w:divBdr>
            <w:top w:val="none" w:sz="0" w:space="0" w:color="auto"/>
            <w:left w:val="none" w:sz="0" w:space="0" w:color="auto"/>
            <w:bottom w:val="none" w:sz="0" w:space="0" w:color="auto"/>
            <w:right w:val="none" w:sz="0" w:space="0" w:color="auto"/>
          </w:divBdr>
        </w:div>
        <w:div w:id="2048796397">
          <w:marLeft w:val="0"/>
          <w:marRight w:val="0"/>
          <w:marTop w:val="0"/>
          <w:marBottom w:val="0"/>
          <w:divBdr>
            <w:top w:val="none" w:sz="0" w:space="0" w:color="auto"/>
            <w:left w:val="none" w:sz="0" w:space="0" w:color="auto"/>
            <w:bottom w:val="none" w:sz="0" w:space="0" w:color="auto"/>
            <w:right w:val="none" w:sz="0" w:space="0" w:color="auto"/>
          </w:divBdr>
        </w:div>
        <w:div w:id="1930505549">
          <w:marLeft w:val="0"/>
          <w:marRight w:val="0"/>
          <w:marTop w:val="0"/>
          <w:marBottom w:val="0"/>
          <w:divBdr>
            <w:top w:val="none" w:sz="0" w:space="0" w:color="auto"/>
            <w:left w:val="none" w:sz="0" w:space="0" w:color="auto"/>
            <w:bottom w:val="none" w:sz="0" w:space="0" w:color="auto"/>
            <w:right w:val="none" w:sz="0" w:space="0" w:color="auto"/>
          </w:divBdr>
        </w:div>
        <w:div w:id="1723167891">
          <w:marLeft w:val="0"/>
          <w:marRight w:val="0"/>
          <w:marTop w:val="0"/>
          <w:marBottom w:val="0"/>
          <w:divBdr>
            <w:top w:val="none" w:sz="0" w:space="0" w:color="auto"/>
            <w:left w:val="none" w:sz="0" w:space="0" w:color="auto"/>
            <w:bottom w:val="none" w:sz="0" w:space="0" w:color="auto"/>
            <w:right w:val="none" w:sz="0" w:space="0" w:color="auto"/>
          </w:divBdr>
        </w:div>
        <w:div w:id="1252547288">
          <w:marLeft w:val="0"/>
          <w:marRight w:val="0"/>
          <w:marTop w:val="0"/>
          <w:marBottom w:val="0"/>
          <w:divBdr>
            <w:top w:val="none" w:sz="0" w:space="0" w:color="auto"/>
            <w:left w:val="none" w:sz="0" w:space="0" w:color="auto"/>
            <w:bottom w:val="none" w:sz="0" w:space="0" w:color="auto"/>
            <w:right w:val="none" w:sz="0" w:space="0" w:color="auto"/>
          </w:divBdr>
        </w:div>
        <w:div w:id="729042116">
          <w:marLeft w:val="0"/>
          <w:marRight w:val="0"/>
          <w:marTop w:val="0"/>
          <w:marBottom w:val="0"/>
          <w:divBdr>
            <w:top w:val="none" w:sz="0" w:space="0" w:color="auto"/>
            <w:left w:val="none" w:sz="0" w:space="0" w:color="auto"/>
            <w:bottom w:val="none" w:sz="0" w:space="0" w:color="auto"/>
            <w:right w:val="none" w:sz="0" w:space="0" w:color="auto"/>
          </w:divBdr>
        </w:div>
        <w:div w:id="144514125">
          <w:marLeft w:val="0"/>
          <w:marRight w:val="0"/>
          <w:marTop w:val="0"/>
          <w:marBottom w:val="0"/>
          <w:divBdr>
            <w:top w:val="none" w:sz="0" w:space="0" w:color="auto"/>
            <w:left w:val="none" w:sz="0" w:space="0" w:color="auto"/>
            <w:bottom w:val="none" w:sz="0" w:space="0" w:color="auto"/>
            <w:right w:val="none" w:sz="0" w:space="0" w:color="auto"/>
          </w:divBdr>
        </w:div>
        <w:div w:id="1098059904">
          <w:marLeft w:val="0"/>
          <w:marRight w:val="0"/>
          <w:marTop w:val="0"/>
          <w:marBottom w:val="0"/>
          <w:divBdr>
            <w:top w:val="none" w:sz="0" w:space="0" w:color="auto"/>
            <w:left w:val="none" w:sz="0" w:space="0" w:color="auto"/>
            <w:bottom w:val="none" w:sz="0" w:space="0" w:color="auto"/>
            <w:right w:val="none" w:sz="0" w:space="0" w:color="auto"/>
          </w:divBdr>
        </w:div>
        <w:div w:id="2087801887">
          <w:marLeft w:val="0"/>
          <w:marRight w:val="0"/>
          <w:marTop w:val="0"/>
          <w:marBottom w:val="0"/>
          <w:divBdr>
            <w:top w:val="none" w:sz="0" w:space="0" w:color="auto"/>
            <w:left w:val="none" w:sz="0" w:space="0" w:color="auto"/>
            <w:bottom w:val="none" w:sz="0" w:space="0" w:color="auto"/>
            <w:right w:val="none" w:sz="0" w:space="0" w:color="auto"/>
          </w:divBdr>
        </w:div>
        <w:div w:id="1187674509">
          <w:marLeft w:val="0"/>
          <w:marRight w:val="0"/>
          <w:marTop w:val="0"/>
          <w:marBottom w:val="0"/>
          <w:divBdr>
            <w:top w:val="none" w:sz="0" w:space="0" w:color="auto"/>
            <w:left w:val="none" w:sz="0" w:space="0" w:color="auto"/>
            <w:bottom w:val="none" w:sz="0" w:space="0" w:color="auto"/>
            <w:right w:val="none" w:sz="0" w:space="0" w:color="auto"/>
          </w:divBdr>
        </w:div>
        <w:div w:id="917984210">
          <w:marLeft w:val="0"/>
          <w:marRight w:val="0"/>
          <w:marTop w:val="0"/>
          <w:marBottom w:val="0"/>
          <w:divBdr>
            <w:top w:val="none" w:sz="0" w:space="0" w:color="auto"/>
            <w:left w:val="none" w:sz="0" w:space="0" w:color="auto"/>
            <w:bottom w:val="none" w:sz="0" w:space="0" w:color="auto"/>
            <w:right w:val="none" w:sz="0" w:space="0" w:color="auto"/>
          </w:divBdr>
        </w:div>
        <w:div w:id="797993667">
          <w:marLeft w:val="0"/>
          <w:marRight w:val="0"/>
          <w:marTop w:val="0"/>
          <w:marBottom w:val="0"/>
          <w:divBdr>
            <w:top w:val="none" w:sz="0" w:space="0" w:color="auto"/>
            <w:left w:val="none" w:sz="0" w:space="0" w:color="auto"/>
            <w:bottom w:val="none" w:sz="0" w:space="0" w:color="auto"/>
            <w:right w:val="none" w:sz="0" w:space="0" w:color="auto"/>
          </w:divBdr>
        </w:div>
        <w:div w:id="1724985103">
          <w:marLeft w:val="0"/>
          <w:marRight w:val="0"/>
          <w:marTop w:val="0"/>
          <w:marBottom w:val="0"/>
          <w:divBdr>
            <w:top w:val="none" w:sz="0" w:space="0" w:color="auto"/>
            <w:left w:val="none" w:sz="0" w:space="0" w:color="auto"/>
            <w:bottom w:val="none" w:sz="0" w:space="0" w:color="auto"/>
            <w:right w:val="none" w:sz="0" w:space="0" w:color="auto"/>
          </w:divBdr>
        </w:div>
        <w:div w:id="1777139887">
          <w:marLeft w:val="0"/>
          <w:marRight w:val="0"/>
          <w:marTop w:val="0"/>
          <w:marBottom w:val="0"/>
          <w:divBdr>
            <w:top w:val="none" w:sz="0" w:space="0" w:color="auto"/>
            <w:left w:val="none" w:sz="0" w:space="0" w:color="auto"/>
            <w:bottom w:val="none" w:sz="0" w:space="0" w:color="auto"/>
            <w:right w:val="none" w:sz="0" w:space="0" w:color="auto"/>
          </w:divBdr>
        </w:div>
        <w:div w:id="969289388">
          <w:marLeft w:val="0"/>
          <w:marRight w:val="0"/>
          <w:marTop w:val="0"/>
          <w:marBottom w:val="0"/>
          <w:divBdr>
            <w:top w:val="none" w:sz="0" w:space="0" w:color="auto"/>
            <w:left w:val="none" w:sz="0" w:space="0" w:color="auto"/>
            <w:bottom w:val="none" w:sz="0" w:space="0" w:color="auto"/>
            <w:right w:val="none" w:sz="0" w:space="0" w:color="auto"/>
          </w:divBdr>
        </w:div>
        <w:div w:id="201140189">
          <w:marLeft w:val="0"/>
          <w:marRight w:val="0"/>
          <w:marTop w:val="0"/>
          <w:marBottom w:val="0"/>
          <w:divBdr>
            <w:top w:val="none" w:sz="0" w:space="0" w:color="auto"/>
            <w:left w:val="none" w:sz="0" w:space="0" w:color="auto"/>
            <w:bottom w:val="none" w:sz="0" w:space="0" w:color="auto"/>
            <w:right w:val="none" w:sz="0" w:space="0" w:color="auto"/>
          </w:divBdr>
        </w:div>
        <w:div w:id="1387141924">
          <w:marLeft w:val="0"/>
          <w:marRight w:val="0"/>
          <w:marTop w:val="0"/>
          <w:marBottom w:val="0"/>
          <w:divBdr>
            <w:top w:val="none" w:sz="0" w:space="0" w:color="auto"/>
            <w:left w:val="none" w:sz="0" w:space="0" w:color="auto"/>
            <w:bottom w:val="none" w:sz="0" w:space="0" w:color="auto"/>
            <w:right w:val="none" w:sz="0" w:space="0" w:color="auto"/>
          </w:divBdr>
        </w:div>
        <w:div w:id="1193961552">
          <w:marLeft w:val="0"/>
          <w:marRight w:val="0"/>
          <w:marTop w:val="0"/>
          <w:marBottom w:val="0"/>
          <w:divBdr>
            <w:top w:val="none" w:sz="0" w:space="0" w:color="auto"/>
            <w:left w:val="none" w:sz="0" w:space="0" w:color="auto"/>
            <w:bottom w:val="none" w:sz="0" w:space="0" w:color="auto"/>
            <w:right w:val="none" w:sz="0" w:space="0" w:color="auto"/>
          </w:divBdr>
        </w:div>
        <w:div w:id="1897281168">
          <w:marLeft w:val="0"/>
          <w:marRight w:val="0"/>
          <w:marTop w:val="0"/>
          <w:marBottom w:val="0"/>
          <w:divBdr>
            <w:top w:val="none" w:sz="0" w:space="0" w:color="auto"/>
            <w:left w:val="none" w:sz="0" w:space="0" w:color="auto"/>
            <w:bottom w:val="none" w:sz="0" w:space="0" w:color="auto"/>
            <w:right w:val="none" w:sz="0" w:space="0" w:color="auto"/>
          </w:divBdr>
        </w:div>
        <w:div w:id="1246724070">
          <w:marLeft w:val="0"/>
          <w:marRight w:val="0"/>
          <w:marTop w:val="0"/>
          <w:marBottom w:val="0"/>
          <w:divBdr>
            <w:top w:val="none" w:sz="0" w:space="0" w:color="auto"/>
            <w:left w:val="none" w:sz="0" w:space="0" w:color="auto"/>
            <w:bottom w:val="none" w:sz="0" w:space="0" w:color="auto"/>
            <w:right w:val="none" w:sz="0" w:space="0" w:color="auto"/>
          </w:divBdr>
        </w:div>
        <w:div w:id="1449469066">
          <w:marLeft w:val="0"/>
          <w:marRight w:val="0"/>
          <w:marTop w:val="0"/>
          <w:marBottom w:val="0"/>
          <w:divBdr>
            <w:top w:val="none" w:sz="0" w:space="0" w:color="auto"/>
            <w:left w:val="none" w:sz="0" w:space="0" w:color="auto"/>
            <w:bottom w:val="none" w:sz="0" w:space="0" w:color="auto"/>
            <w:right w:val="none" w:sz="0" w:space="0" w:color="auto"/>
          </w:divBdr>
        </w:div>
        <w:div w:id="1578126926">
          <w:marLeft w:val="0"/>
          <w:marRight w:val="0"/>
          <w:marTop w:val="0"/>
          <w:marBottom w:val="0"/>
          <w:divBdr>
            <w:top w:val="none" w:sz="0" w:space="0" w:color="auto"/>
            <w:left w:val="none" w:sz="0" w:space="0" w:color="auto"/>
            <w:bottom w:val="none" w:sz="0" w:space="0" w:color="auto"/>
            <w:right w:val="none" w:sz="0" w:space="0" w:color="auto"/>
          </w:divBdr>
        </w:div>
        <w:div w:id="472872811">
          <w:marLeft w:val="0"/>
          <w:marRight w:val="0"/>
          <w:marTop w:val="0"/>
          <w:marBottom w:val="0"/>
          <w:divBdr>
            <w:top w:val="none" w:sz="0" w:space="0" w:color="auto"/>
            <w:left w:val="none" w:sz="0" w:space="0" w:color="auto"/>
            <w:bottom w:val="none" w:sz="0" w:space="0" w:color="auto"/>
            <w:right w:val="none" w:sz="0" w:space="0" w:color="auto"/>
          </w:divBdr>
        </w:div>
        <w:div w:id="1647666464">
          <w:marLeft w:val="0"/>
          <w:marRight w:val="0"/>
          <w:marTop w:val="0"/>
          <w:marBottom w:val="0"/>
          <w:divBdr>
            <w:top w:val="none" w:sz="0" w:space="0" w:color="auto"/>
            <w:left w:val="none" w:sz="0" w:space="0" w:color="auto"/>
            <w:bottom w:val="none" w:sz="0" w:space="0" w:color="auto"/>
            <w:right w:val="none" w:sz="0" w:space="0" w:color="auto"/>
          </w:divBdr>
        </w:div>
        <w:div w:id="461196091">
          <w:marLeft w:val="0"/>
          <w:marRight w:val="0"/>
          <w:marTop w:val="0"/>
          <w:marBottom w:val="0"/>
          <w:divBdr>
            <w:top w:val="none" w:sz="0" w:space="0" w:color="auto"/>
            <w:left w:val="none" w:sz="0" w:space="0" w:color="auto"/>
            <w:bottom w:val="none" w:sz="0" w:space="0" w:color="auto"/>
            <w:right w:val="none" w:sz="0" w:space="0" w:color="auto"/>
          </w:divBdr>
        </w:div>
        <w:div w:id="809055060">
          <w:marLeft w:val="0"/>
          <w:marRight w:val="0"/>
          <w:marTop w:val="0"/>
          <w:marBottom w:val="0"/>
          <w:divBdr>
            <w:top w:val="none" w:sz="0" w:space="0" w:color="auto"/>
            <w:left w:val="none" w:sz="0" w:space="0" w:color="auto"/>
            <w:bottom w:val="none" w:sz="0" w:space="0" w:color="auto"/>
            <w:right w:val="none" w:sz="0" w:space="0" w:color="auto"/>
          </w:divBdr>
        </w:div>
        <w:div w:id="1048069481">
          <w:marLeft w:val="0"/>
          <w:marRight w:val="0"/>
          <w:marTop w:val="0"/>
          <w:marBottom w:val="0"/>
          <w:divBdr>
            <w:top w:val="none" w:sz="0" w:space="0" w:color="auto"/>
            <w:left w:val="none" w:sz="0" w:space="0" w:color="auto"/>
            <w:bottom w:val="none" w:sz="0" w:space="0" w:color="auto"/>
            <w:right w:val="none" w:sz="0" w:space="0" w:color="auto"/>
          </w:divBdr>
        </w:div>
        <w:div w:id="1699699840">
          <w:marLeft w:val="0"/>
          <w:marRight w:val="0"/>
          <w:marTop w:val="0"/>
          <w:marBottom w:val="0"/>
          <w:divBdr>
            <w:top w:val="none" w:sz="0" w:space="0" w:color="auto"/>
            <w:left w:val="none" w:sz="0" w:space="0" w:color="auto"/>
            <w:bottom w:val="none" w:sz="0" w:space="0" w:color="auto"/>
            <w:right w:val="none" w:sz="0" w:space="0" w:color="auto"/>
          </w:divBdr>
        </w:div>
        <w:div w:id="1155949973">
          <w:marLeft w:val="0"/>
          <w:marRight w:val="0"/>
          <w:marTop w:val="0"/>
          <w:marBottom w:val="0"/>
          <w:divBdr>
            <w:top w:val="none" w:sz="0" w:space="0" w:color="auto"/>
            <w:left w:val="none" w:sz="0" w:space="0" w:color="auto"/>
            <w:bottom w:val="none" w:sz="0" w:space="0" w:color="auto"/>
            <w:right w:val="none" w:sz="0" w:space="0" w:color="auto"/>
          </w:divBdr>
        </w:div>
        <w:div w:id="802843903">
          <w:marLeft w:val="0"/>
          <w:marRight w:val="0"/>
          <w:marTop w:val="0"/>
          <w:marBottom w:val="0"/>
          <w:divBdr>
            <w:top w:val="none" w:sz="0" w:space="0" w:color="auto"/>
            <w:left w:val="none" w:sz="0" w:space="0" w:color="auto"/>
            <w:bottom w:val="none" w:sz="0" w:space="0" w:color="auto"/>
            <w:right w:val="none" w:sz="0" w:space="0" w:color="auto"/>
          </w:divBdr>
        </w:div>
        <w:div w:id="490949710">
          <w:marLeft w:val="0"/>
          <w:marRight w:val="0"/>
          <w:marTop w:val="0"/>
          <w:marBottom w:val="0"/>
          <w:divBdr>
            <w:top w:val="none" w:sz="0" w:space="0" w:color="auto"/>
            <w:left w:val="none" w:sz="0" w:space="0" w:color="auto"/>
            <w:bottom w:val="none" w:sz="0" w:space="0" w:color="auto"/>
            <w:right w:val="none" w:sz="0" w:space="0" w:color="auto"/>
          </w:divBdr>
        </w:div>
        <w:div w:id="1637489169">
          <w:marLeft w:val="0"/>
          <w:marRight w:val="0"/>
          <w:marTop w:val="0"/>
          <w:marBottom w:val="0"/>
          <w:divBdr>
            <w:top w:val="none" w:sz="0" w:space="0" w:color="auto"/>
            <w:left w:val="none" w:sz="0" w:space="0" w:color="auto"/>
            <w:bottom w:val="none" w:sz="0" w:space="0" w:color="auto"/>
            <w:right w:val="none" w:sz="0" w:space="0" w:color="auto"/>
          </w:divBdr>
        </w:div>
        <w:div w:id="14112228">
          <w:marLeft w:val="0"/>
          <w:marRight w:val="0"/>
          <w:marTop w:val="0"/>
          <w:marBottom w:val="0"/>
          <w:divBdr>
            <w:top w:val="none" w:sz="0" w:space="0" w:color="auto"/>
            <w:left w:val="none" w:sz="0" w:space="0" w:color="auto"/>
            <w:bottom w:val="none" w:sz="0" w:space="0" w:color="auto"/>
            <w:right w:val="none" w:sz="0" w:space="0" w:color="auto"/>
          </w:divBdr>
        </w:div>
        <w:div w:id="815486903">
          <w:marLeft w:val="0"/>
          <w:marRight w:val="0"/>
          <w:marTop w:val="0"/>
          <w:marBottom w:val="0"/>
          <w:divBdr>
            <w:top w:val="none" w:sz="0" w:space="0" w:color="auto"/>
            <w:left w:val="none" w:sz="0" w:space="0" w:color="auto"/>
            <w:bottom w:val="none" w:sz="0" w:space="0" w:color="auto"/>
            <w:right w:val="none" w:sz="0" w:space="0" w:color="auto"/>
          </w:divBdr>
        </w:div>
        <w:div w:id="726342016">
          <w:marLeft w:val="0"/>
          <w:marRight w:val="0"/>
          <w:marTop w:val="0"/>
          <w:marBottom w:val="0"/>
          <w:divBdr>
            <w:top w:val="none" w:sz="0" w:space="0" w:color="auto"/>
            <w:left w:val="none" w:sz="0" w:space="0" w:color="auto"/>
            <w:bottom w:val="none" w:sz="0" w:space="0" w:color="auto"/>
            <w:right w:val="none" w:sz="0" w:space="0" w:color="auto"/>
          </w:divBdr>
        </w:div>
        <w:div w:id="1532567481">
          <w:marLeft w:val="0"/>
          <w:marRight w:val="0"/>
          <w:marTop w:val="0"/>
          <w:marBottom w:val="0"/>
          <w:divBdr>
            <w:top w:val="none" w:sz="0" w:space="0" w:color="auto"/>
            <w:left w:val="none" w:sz="0" w:space="0" w:color="auto"/>
            <w:bottom w:val="none" w:sz="0" w:space="0" w:color="auto"/>
            <w:right w:val="none" w:sz="0" w:space="0" w:color="auto"/>
          </w:divBdr>
        </w:div>
        <w:div w:id="80684002">
          <w:marLeft w:val="0"/>
          <w:marRight w:val="0"/>
          <w:marTop w:val="0"/>
          <w:marBottom w:val="0"/>
          <w:divBdr>
            <w:top w:val="none" w:sz="0" w:space="0" w:color="auto"/>
            <w:left w:val="none" w:sz="0" w:space="0" w:color="auto"/>
            <w:bottom w:val="none" w:sz="0" w:space="0" w:color="auto"/>
            <w:right w:val="none" w:sz="0" w:space="0" w:color="auto"/>
          </w:divBdr>
        </w:div>
        <w:div w:id="508906393">
          <w:marLeft w:val="0"/>
          <w:marRight w:val="0"/>
          <w:marTop w:val="0"/>
          <w:marBottom w:val="0"/>
          <w:divBdr>
            <w:top w:val="none" w:sz="0" w:space="0" w:color="auto"/>
            <w:left w:val="none" w:sz="0" w:space="0" w:color="auto"/>
            <w:bottom w:val="none" w:sz="0" w:space="0" w:color="auto"/>
            <w:right w:val="none" w:sz="0" w:space="0" w:color="auto"/>
          </w:divBdr>
        </w:div>
        <w:div w:id="1516118529">
          <w:marLeft w:val="0"/>
          <w:marRight w:val="0"/>
          <w:marTop w:val="0"/>
          <w:marBottom w:val="0"/>
          <w:divBdr>
            <w:top w:val="none" w:sz="0" w:space="0" w:color="auto"/>
            <w:left w:val="none" w:sz="0" w:space="0" w:color="auto"/>
            <w:bottom w:val="none" w:sz="0" w:space="0" w:color="auto"/>
            <w:right w:val="none" w:sz="0" w:space="0" w:color="auto"/>
          </w:divBdr>
        </w:div>
        <w:div w:id="565262180">
          <w:marLeft w:val="0"/>
          <w:marRight w:val="0"/>
          <w:marTop w:val="0"/>
          <w:marBottom w:val="0"/>
          <w:divBdr>
            <w:top w:val="none" w:sz="0" w:space="0" w:color="auto"/>
            <w:left w:val="none" w:sz="0" w:space="0" w:color="auto"/>
            <w:bottom w:val="none" w:sz="0" w:space="0" w:color="auto"/>
            <w:right w:val="none" w:sz="0" w:space="0" w:color="auto"/>
          </w:divBdr>
        </w:div>
        <w:div w:id="187261624">
          <w:marLeft w:val="0"/>
          <w:marRight w:val="0"/>
          <w:marTop w:val="0"/>
          <w:marBottom w:val="0"/>
          <w:divBdr>
            <w:top w:val="none" w:sz="0" w:space="0" w:color="auto"/>
            <w:left w:val="none" w:sz="0" w:space="0" w:color="auto"/>
            <w:bottom w:val="none" w:sz="0" w:space="0" w:color="auto"/>
            <w:right w:val="none" w:sz="0" w:space="0" w:color="auto"/>
          </w:divBdr>
        </w:div>
        <w:div w:id="1458841805">
          <w:marLeft w:val="0"/>
          <w:marRight w:val="0"/>
          <w:marTop w:val="0"/>
          <w:marBottom w:val="0"/>
          <w:divBdr>
            <w:top w:val="none" w:sz="0" w:space="0" w:color="auto"/>
            <w:left w:val="none" w:sz="0" w:space="0" w:color="auto"/>
            <w:bottom w:val="none" w:sz="0" w:space="0" w:color="auto"/>
            <w:right w:val="none" w:sz="0" w:space="0" w:color="auto"/>
          </w:divBdr>
        </w:div>
        <w:div w:id="1253320923">
          <w:marLeft w:val="0"/>
          <w:marRight w:val="0"/>
          <w:marTop w:val="0"/>
          <w:marBottom w:val="0"/>
          <w:divBdr>
            <w:top w:val="none" w:sz="0" w:space="0" w:color="auto"/>
            <w:left w:val="none" w:sz="0" w:space="0" w:color="auto"/>
            <w:bottom w:val="none" w:sz="0" w:space="0" w:color="auto"/>
            <w:right w:val="none" w:sz="0" w:space="0" w:color="auto"/>
          </w:divBdr>
        </w:div>
        <w:div w:id="1782916186">
          <w:marLeft w:val="0"/>
          <w:marRight w:val="0"/>
          <w:marTop w:val="0"/>
          <w:marBottom w:val="0"/>
          <w:divBdr>
            <w:top w:val="none" w:sz="0" w:space="0" w:color="auto"/>
            <w:left w:val="none" w:sz="0" w:space="0" w:color="auto"/>
            <w:bottom w:val="none" w:sz="0" w:space="0" w:color="auto"/>
            <w:right w:val="none" w:sz="0" w:space="0" w:color="auto"/>
          </w:divBdr>
        </w:div>
        <w:div w:id="831920043">
          <w:marLeft w:val="0"/>
          <w:marRight w:val="0"/>
          <w:marTop w:val="0"/>
          <w:marBottom w:val="0"/>
          <w:divBdr>
            <w:top w:val="none" w:sz="0" w:space="0" w:color="auto"/>
            <w:left w:val="none" w:sz="0" w:space="0" w:color="auto"/>
            <w:bottom w:val="none" w:sz="0" w:space="0" w:color="auto"/>
            <w:right w:val="none" w:sz="0" w:space="0" w:color="auto"/>
          </w:divBdr>
        </w:div>
        <w:div w:id="120878524">
          <w:marLeft w:val="0"/>
          <w:marRight w:val="0"/>
          <w:marTop w:val="0"/>
          <w:marBottom w:val="0"/>
          <w:divBdr>
            <w:top w:val="none" w:sz="0" w:space="0" w:color="auto"/>
            <w:left w:val="none" w:sz="0" w:space="0" w:color="auto"/>
            <w:bottom w:val="none" w:sz="0" w:space="0" w:color="auto"/>
            <w:right w:val="none" w:sz="0" w:space="0" w:color="auto"/>
          </w:divBdr>
        </w:div>
        <w:div w:id="1800147502">
          <w:marLeft w:val="0"/>
          <w:marRight w:val="0"/>
          <w:marTop w:val="0"/>
          <w:marBottom w:val="0"/>
          <w:divBdr>
            <w:top w:val="none" w:sz="0" w:space="0" w:color="auto"/>
            <w:left w:val="none" w:sz="0" w:space="0" w:color="auto"/>
            <w:bottom w:val="none" w:sz="0" w:space="0" w:color="auto"/>
            <w:right w:val="none" w:sz="0" w:space="0" w:color="auto"/>
          </w:divBdr>
        </w:div>
      </w:divsChild>
    </w:div>
    <w:div w:id="212737590">
      <w:bodyDiv w:val="1"/>
      <w:marLeft w:val="0"/>
      <w:marRight w:val="0"/>
      <w:marTop w:val="0"/>
      <w:marBottom w:val="0"/>
      <w:divBdr>
        <w:top w:val="none" w:sz="0" w:space="0" w:color="auto"/>
        <w:left w:val="none" w:sz="0" w:space="0" w:color="auto"/>
        <w:bottom w:val="none" w:sz="0" w:space="0" w:color="auto"/>
        <w:right w:val="none" w:sz="0" w:space="0" w:color="auto"/>
      </w:divBdr>
    </w:div>
    <w:div w:id="216749982">
      <w:bodyDiv w:val="1"/>
      <w:marLeft w:val="0"/>
      <w:marRight w:val="0"/>
      <w:marTop w:val="0"/>
      <w:marBottom w:val="0"/>
      <w:divBdr>
        <w:top w:val="none" w:sz="0" w:space="0" w:color="auto"/>
        <w:left w:val="none" w:sz="0" w:space="0" w:color="auto"/>
        <w:bottom w:val="none" w:sz="0" w:space="0" w:color="auto"/>
        <w:right w:val="none" w:sz="0" w:space="0" w:color="auto"/>
      </w:divBdr>
    </w:div>
    <w:div w:id="273023241">
      <w:bodyDiv w:val="1"/>
      <w:marLeft w:val="0"/>
      <w:marRight w:val="0"/>
      <w:marTop w:val="0"/>
      <w:marBottom w:val="0"/>
      <w:divBdr>
        <w:top w:val="none" w:sz="0" w:space="0" w:color="auto"/>
        <w:left w:val="none" w:sz="0" w:space="0" w:color="auto"/>
        <w:bottom w:val="none" w:sz="0" w:space="0" w:color="auto"/>
        <w:right w:val="none" w:sz="0" w:space="0" w:color="auto"/>
      </w:divBdr>
    </w:div>
    <w:div w:id="407846550">
      <w:bodyDiv w:val="1"/>
      <w:marLeft w:val="0"/>
      <w:marRight w:val="0"/>
      <w:marTop w:val="0"/>
      <w:marBottom w:val="0"/>
      <w:divBdr>
        <w:top w:val="none" w:sz="0" w:space="0" w:color="auto"/>
        <w:left w:val="none" w:sz="0" w:space="0" w:color="auto"/>
        <w:bottom w:val="none" w:sz="0" w:space="0" w:color="auto"/>
        <w:right w:val="none" w:sz="0" w:space="0" w:color="auto"/>
      </w:divBdr>
    </w:div>
    <w:div w:id="438184220">
      <w:bodyDiv w:val="1"/>
      <w:marLeft w:val="0"/>
      <w:marRight w:val="0"/>
      <w:marTop w:val="0"/>
      <w:marBottom w:val="0"/>
      <w:divBdr>
        <w:top w:val="none" w:sz="0" w:space="0" w:color="auto"/>
        <w:left w:val="none" w:sz="0" w:space="0" w:color="auto"/>
        <w:bottom w:val="none" w:sz="0" w:space="0" w:color="auto"/>
        <w:right w:val="none" w:sz="0" w:space="0" w:color="auto"/>
      </w:divBdr>
    </w:div>
    <w:div w:id="640964829">
      <w:bodyDiv w:val="1"/>
      <w:marLeft w:val="0"/>
      <w:marRight w:val="0"/>
      <w:marTop w:val="0"/>
      <w:marBottom w:val="0"/>
      <w:divBdr>
        <w:top w:val="none" w:sz="0" w:space="0" w:color="auto"/>
        <w:left w:val="none" w:sz="0" w:space="0" w:color="auto"/>
        <w:bottom w:val="none" w:sz="0" w:space="0" w:color="auto"/>
        <w:right w:val="none" w:sz="0" w:space="0" w:color="auto"/>
      </w:divBdr>
    </w:div>
    <w:div w:id="647520407">
      <w:bodyDiv w:val="1"/>
      <w:marLeft w:val="0"/>
      <w:marRight w:val="0"/>
      <w:marTop w:val="0"/>
      <w:marBottom w:val="0"/>
      <w:divBdr>
        <w:top w:val="none" w:sz="0" w:space="0" w:color="auto"/>
        <w:left w:val="none" w:sz="0" w:space="0" w:color="auto"/>
        <w:bottom w:val="none" w:sz="0" w:space="0" w:color="auto"/>
        <w:right w:val="none" w:sz="0" w:space="0" w:color="auto"/>
      </w:divBdr>
    </w:div>
    <w:div w:id="652685605">
      <w:bodyDiv w:val="1"/>
      <w:marLeft w:val="0"/>
      <w:marRight w:val="0"/>
      <w:marTop w:val="0"/>
      <w:marBottom w:val="0"/>
      <w:divBdr>
        <w:top w:val="none" w:sz="0" w:space="0" w:color="auto"/>
        <w:left w:val="none" w:sz="0" w:space="0" w:color="auto"/>
        <w:bottom w:val="none" w:sz="0" w:space="0" w:color="auto"/>
        <w:right w:val="none" w:sz="0" w:space="0" w:color="auto"/>
      </w:divBdr>
    </w:div>
    <w:div w:id="659506985">
      <w:bodyDiv w:val="1"/>
      <w:marLeft w:val="0"/>
      <w:marRight w:val="0"/>
      <w:marTop w:val="0"/>
      <w:marBottom w:val="0"/>
      <w:divBdr>
        <w:top w:val="none" w:sz="0" w:space="0" w:color="auto"/>
        <w:left w:val="none" w:sz="0" w:space="0" w:color="auto"/>
        <w:bottom w:val="none" w:sz="0" w:space="0" w:color="auto"/>
        <w:right w:val="none" w:sz="0" w:space="0" w:color="auto"/>
      </w:divBdr>
    </w:div>
    <w:div w:id="680818233">
      <w:bodyDiv w:val="1"/>
      <w:marLeft w:val="0"/>
      <w:marRight w:val="0"/>
      <w:marTop w:val="0"/>
      <w:marBottom w:val="0"/>
      <w:divBdr>
        <w:top w:val="none" w:sz="0" w:space="0" w:color="auto"/>
        <w:left w:val="none" w:sz="0" w:space="0" w:color="auto"/>
        <w:bottom w:val="none" w:sz="0" w:space="0" w:color="auto"/>
        <w:right w:val="none" w:sz="0" w:space="0" w:color="auto"/>
      </w:divBdr>
    </w:div>
    <w:div w:id="781656427">
      <w:bodyDiv w:val="1"/>
      <w:marLeft w:val="0"/>
      <w:marRight w:val="0"/>
      <w:marTop w:val="0"/>
      <w:marBottom w:val="0"/>
      <w:divBdr>
        <w:top w:val="none" w:sz="0" w:space="0" w:color="auto"/>
        <w:left w:val="none" w:sz="0" w:space="0" w:color="auto"/>
        <w:bottom w:val="none" w:sz="0" w:space="0" w:color="auto"/>
        <w:right w:val="none" w:sz="0" w:space="0" w:color="auto"/>
      </w:divBdr>
    </w:div>
    <w:div w:id="970742613">
      <w:bodyDiv w:val="1"/>
      <w:marLeft w:val="0"/>
      <w:marRight w:val="0"/>
      <w:marTop w:val="0"/>
      <w:marBottom w:val="0"/>
      <w:divBdr>
        <w:top w:val="none" w:sz="0" w:space="0" w:color="auto"/>
        <w:left w:val="none" w:sz="0" w:space="0" w:color="auto"/>
        <w:bottom w:val="none" w:sz="0" w:space="0" w:color="auto"/>
        <w:right w:val="none" w:sz="0" w:space="0" w:color="auto"/>
      </w:divBdr>
    </w:div>
    <w:div w:id="998579649">
      <w:bodyDiv w:val="1"/>
      <w:marLeft w:val="0"/>
      <w:marRight w:val="0"/>
      <w:marTop w:val="0"/>
      <w:marBottom w:val="0"/>
      <w:divBdr>
        <w:top w:val="none" w:sz="0" w:space="0" w:color="auto"/>
        <w:left w:val="none" w:sz="0" w:space="0" w:color="auto"/>
        <w:bottom w:val="none" w:sz="0" w:space="0" w:color="auto"/>
        <w:right w:val="none" w:sz="0" w:space="0" w:color="auto"/>
      </w:divBdr>
    </w:div>
    <w:div w:id="1018699530">
      <w:bodyDiv w:val="1"/>
      <w:marLeft w:val="0"/>
      <w:marRight w:val="0"/>
      <w:marTop w:val="0"/>
      <w:marBottom w:val="0"/>
      <w:divBdr>
        <w:top w:val="none" w:sz="0" w:space="0" w:color="auto"/>
        <w:left w:val="none" w:sz="0" w:space="0" w:color="auto"/>
        <w:bottom w:val="none" w:sz="0" w:space="0" w:color="auto"/>
        <w:right w:val="none" w:sz="0" w:space="0" w:color="auto"/>
      </w:divBdr>
      <w:divsChild>
        <w:div w:id="1012803219">
          <w:marLeft w:val="0"/>
          <w:marRight w:val="0"/>
          <w:marTop w:val="0"/>
          <w:marBottom w:val="0"/>
          <w:divBdr>
            <w:top w:val="none" w:sz="0" w:space="0" w:color="auto"/>
            <w:left w:val="none" w:sz="0" w:space="0" w:color="auto"/>
            <w:bottom w:val="none" w:sz="0" w:space="0" w:color="auto"/>
            <w:right w:val="none" w:sz="0" w:space="0" w:color="auto"/>
          </w:divBdr>
          <w:divsChild>
            <w:div w:id="1285891219">
              <w:marLeft w:val="0"/>
              <w:marRight w:val="0"/>
              <w:marTop w:val="0"/>
              <w:marBottom w:val="0"/>
              <w:divBdr>
                <w:top w:val="none" w:sz="0" w:space="0" w:color="auto"/>
                <w:left w:val="none" w:sz="0" w:space="0" w:color="auto"/>
                <w:bottom w:val="none" w:sz="0" w:space="0" w:color="auto"/>
                <w:right w:val="none" w:sz="0" w:space="0" w:color="auto"/>
              </w:divBdr>
            </w:div>
          </w:divsChild>
        </w:div>
        <w:div w:id="1770662423">
          <w:marLeft w:val="0"/>
          <w:marRight w:val="0"/>
          <w:marTop w:val="0"/>
          <w:marBottom w:val="0"/>
          <w:divBdr>
            <w:top w:val="none" w:sz="0" w:space="0" w:color="auto"/>
            <w:left w:val="none" w:sz="0" w:space="0" w:color="auto"/>
            <w:bottom w:val="none" w:sz="0" w:space="0" w:color="auto"/>
            <w:right w:val="none" w:sz="0" w:space="0" w:color="auto"/>
          </w:divBdr>
        </w:div>
        <w:div w:id="952135227">
          <w:marLeft w:val="0"/>
          <w:marRight w:val="0"/>
          <w:marTop w:val="0"/>
          <w:marBottom w:val="0"/>
          <w:divBdr>
            <w:top w:val="none" w:sz="0" w:space="0" w:color="auto"/>
            <w:left w:val="none" w:sz="0" w:space="0" w:color="auto"/>
            <w:bottom w:val="none" w:sz="0" w:space="0" w:color="auto"/>
            <w:right w:val="none" w:sz="0" w:space="0" w:color="auto"/>
          </w:divBdr>
        </w:div>
        <w:div w:id="76442664">
          <w:marLeft w:val="0"/>
          <w:marRight w:val="0"/>
          <w:marTop w:val="0"/>
          <w:marBottom w:val="0"/>
          <w:divBdr>
            <w:top w:val="none" w:sz="0" w:space="0" w:color="auto"/>
            <w:left w:val="none" w:sz="0" w:space="0" w:color="auto"/>
            <w:bottom w:val="none" w:sz="0" w:space="0" w:color="auto"/>
            <w:right w:val="none" w:sz="0" w:space="0" w:color="auto"/>
          </w:divBdr>
        </w:div>
        <w:div w:id="1527594421">
          <w:marLeft w:val="0"/>
          <w:marRight w:val="0"/>
          <w:marTop w:val="0"/>
          <w:marBottom w:val="0"/>
          <w:divBdr>
            <w:top w:val="none" w:sz="0" w:space="0" w:color="auto"/>
            <w:left w:val="none" w:sz="0" w:space="0" w:color="auto"/>
            <w:bottom w:val="none" w:sz="0" w:space="0" w:color="auto"/>
            <w:right w:val="none" w:sz="0" w:space="0" w:color="auto"/>
          </w:divBdr>
        </w:div>
        <w:div w:id="1908150905">
          <w:marLeft w:val="0"/>
          <w:marRight w:val="0"/>
          <w:marTop w:val="0"/>
          <w:marBottom w:val="0"/>
          <w:divBdr>
            <w:top w:val="none" w:sz="0" w:space="0" w:color="auto"/>
            <w:left w:val="none" w:sz="0" w:space="0" w:color="auto"/>
            <w:bottom w:val="none" w:sz="0" w:space="0" w:color="auto"/>
            <w:right w:val="none" w:sz="0" w:space="0" w:color="auto"/>
          </w:divBdr>
        </w:div>
        <w:div w:id="1219249491">
          <w:marLeft w:val="0"/>
          <w:marRight w:val="0"/>
          <w:marTop w:val="0"/>
          <w:marBottom w:val="0"/>
          <w:divBdr>
            <w:top w:val="none" w:sz="0" w:space="0" w:color="auto"/>
            <w:left w:val="none" w:sz="0" w:space="0" w:color="auto"/>
            <w:bottom w:val="none" w:sz="0" w:space="0" w:color="auto"/>
            <w:right w:val="none" w:sz="0" w:space="0" w:color="auto"/>
          </w:divBdr>
        </w:div>
        <w:div w:id="729814827">
          <w:marLeft w:val="0"/>
          <w:marRight w:val="0"/>
          <w:marTop w:val="0"/>
          <w:marBottom w:val="0"/>
          <w:divBdr>
            <w:top w:val="none" w:sz="0" w:space="0" w:color="auto"/>
            <w:left w:val="none" w:sz="0" w:space="0" w:color="auto"/>
            <w:bottom w:val="none" w:sz="0" w:space="0" w:color="auto"/>
            <w:right w:val="none" w:sz="0" w:space="0" w:color="auto"/>
          </w:divBdr>
        </w:div>
        <w:div w:id="1750736936">
          <w:marLeft w:val="0"/>
          <w:marRight w:val="0"/>
          <w:marTop w:val="0"/>
          <w:marBottom w:val="0"/>
          <w:divBdr>
            <w:top w:val="none" w:sz="0" w:space="0" w:color="auto"/>
            <w:left w:val="none" w:sz="0" w:space="0" w:color="auto"/>
            <w:bottom w:val="none" w:sz="0" w:space="0" w:color="auto"/>
            <w:right w:val="none" w:sz="0" w:space="0" w:color="auto"/>
          </w:divBdr>
        </w:div>
        <w:div w:id="735518467">
          <w:marLeft w:val="0"/>
          <w:marRight w:val="0"/>
          <w:marTop w:val="0"/>
          <w:marBottom w:val="0"/>
          <w:divBdr>
            <w:top w:val="none" w:sz="0" w:space="0" w:color="auto"/>
            <w:left w:val="none" w:sz="0" w:space="0" w:color="auto"/>
            <w:bottom w:val="none" w:sz="0" w:space="0" w:color="auto"/>
            <w:right w:val="none" w:sz="0" w:space="0" w:color="auto"/>
          </w:divBdr>
        </w:div>
        <w:div w:id="1133642449">
          <w:marLeft w:val="0"/>
          <w:marRight w:val="0"/>
          <w:marTop w:val="0"/>
          <w:marBottom w:val="0"/>
          <w:divBdr>
            <w:top w:val="none" w:sz="0" w:space="0" w:color="auto"/>
            <w:left w:val="none" w:sz="0" w:space="0" w:color="auto"/>
            <w:bottom w:val="none" w:sz="0" w:space="0" w:color="auto"/>
            <w:right w:val="none" w:sz="0" w:space="0" w:color="auto"/>
          </w:divBdr>
        </w:div>
        <w:div w:id="218445853">
          <w:marLeft w:val="0"/>
          <w:marRight w:val="0"/>
          <w:marTop w:val="0"/>
          <w:marBottom w:val="0"/>
          <w:divBdr>
            <w:top w:val="none" w:sz="0" w:space="0" w:color="auto"/>
            <w:left w:val="none" w:sz="0" w:space="0" w:color="auto"/>
            <w:bottom w:val="none" w:sz="0" w:space="0" w:color="auto"/>
            <w:right w:val="none" w:sz="0" w:space="0" w:color="auto"/>
          </w:divBdr>
        </w:div>
        <w:div w:id="1088575434">
          <w:marLeft w:val="0"/>
          <w:marRight w:val="0"/>
          <w:marTop w:val="0"/>
          <w:marBottom w:val="0"/>
          <w:divBdr>
            <w:top w:val="none" w:sz="0" w:space="0" w:color="auto"/>
            <w:left w:val="none" w:sz="0" w:space="0" w:color="auto"/>
            <w:bottom w:val="none" w:sz="0" w:space="0" w:color="auto"/>
            <w:right w:val="none" w:sz="0" w:space="0" w:color="auto"/>
          </w:divBdr>
        </w:div>
        <w:div w:id="2056151439">
          <w:marLeft w:val="0"/>
          <w:marRight w:val="0"/>
          <w:marTop w:val="0"/>
          <w:marBottom w:val="0"/>
          <w:divBdr>
            <w:top w:val="none" w:sz="0" w:space="0" w:color="auto"/>
            <w:left w:val="none" w:sz="0" w:space="0" w:color="auto"/>
            <w:bottom w:val="none" w:sz="0" w:space="0" w:color="auto"/>
            <w:right w:val="none" w:sz="0" w:space="0" w:color="auto"/>
          </w:divBdr>
        </w:div>
        <w:div w:id="1216696370">
          <w:marLeft w:val="0"/>
          <w:marRight w:val="0"/>
          <w:marTop w:val="0"/>
          <w:marBottom w:val="0"/>
          <w:divBdr>
            <w:top w:val="none" w:sz="0" w:space="0" w:color="auto"/>
            <w:left w:val="none" w:sz="0" w:space="0" w:color="auto"/>
            <w:bottom w:val="none" w:sz="0" w:space="0" w:color="auto"/>
            <w:right w:val="none" w:sz="0" w:space="0" w:color="auto"/>
          </w:divBdr>
        </w:div>
        <w:div w:id="504131913">
          <w:marLeft w:val="0"/>
          <w:marRight w:val="0"/>
          <w:marTop w:val="0"/>
          <w:marBottom w:val="0"/>
          <w:divBdr>
            <w:top w:val="none" w:sz="0" w:space="0" w:color="auto"/>
            <w:left w:val="none" w:sz="0" w:space="0" w:color="auto"/>
            <w:bottom w:val="none" w:sz="0" w:space="0" w:color="auto"/>
            <w:right w:val="none" w:sz="0" w:space="0" w:color="auto"/>
          </w:divBdr>
        </w:div>
        <w:div w:id="489061341">
          <w:marLeft w:val="0"/>
          <w:marRight w:val="0"/>
          <w:marTop w:val="0"/>
          <w:marBottom w:val="0"/>
          <w:divBdr>
            <w:top w:val="none" w:sz="0" w:space="0" w:color="auto"/>
            <w:left w:val="none" w:sz="0" w:space="0" w:color="auto"/>
            <w:bottom w:val="none" w:sz="0" w:space="0" w:color="auto"/>
            <w:right w:val="none" w:sz="0" w:space="0" w:color="auto"/>
          </w:divBdr>
        </w:div>
        <w:div w:id="1934892132">
          <w:marLeft w:val="0"/>
          <w:marRight w:val="0"/>
          <w:marTop w:val="0"/>
          <w:marBottom w:val="0"/>
          <w:divBdr>
            <w:top w:val="none" w:sz="0" w:space="0" w:color="auto"/>
            <w:left w:val="none" w:sz="0" w:space="0" w:color="auto"/>
            <w:bottom w:val="none" w:sz="0" w:space="0" w:color="auto"/>
            <w:right w:val="none" w:sz="0" w:space="0" w:color="auto"/>
          </w:divBdr>
        </w:div>
        <w:div w:id="760567645">
          <w:marLeft w:val="0"/>
          <w:marRight w:val="0"/>
          <w:marTop w:val="0"/>
          <w:marBottom w:val="0"/>
          <w:divBdr>
            <w:top w:val="none" w:sz="0" w:space="0" w:color="auto"/>
            <w:left w:val="none" w:sz="0" w:space="0" w:color="auto"/>
            <w:bottom w:val="none" w:sz="0" w:space="0" w:color="auto"/>
            <w:right w:val="none" w:sz="0" w:space="0" w:color="auto"/>
          </w:divBdr>
        </w:div>
        <w:div w:id="893001584">
          <w:marLeft w:val="0"/>
          <w:marRight w:val="0"/>
          <w:marTop w:val="0"/>
          <w:marBottom w:val="0"/>
          <w:divBdr>
            <w:top w:val="none" w:sz="0" w:space="0" w:color="auto"/>
            <w:left w:val="none" w:sz="0" w:space="0" w:color="auto"/>
            <w:bottom w:val="none" w:sz="0" w:space="0" w:color="auto"/>
            <w:right w:val="none" w:sz="0" w:space="0" w:color="auto"/>
          </w:divBdr>
        </w:div>
        <w:div w:id="725372573">
          <w:marLeft w:val="0"/>
          <w:marRight w:val="0"/>
          <w:marTop w:val="0"/>
          <w:marBottom w:val="0"/>
          <w:divBdr>
            <w:top w:val="none" w:sz="0" w:space="0" w:color="auto"/>
            <w:left w:val="none" w:sz="0" w:space="0" w:color="auto"/>
            <w:bottom w:val="none" w:sz="0" w:space="0" w:color="auto"/>
            <w:right w:val="none" w:sz="0" w:space="0" w:color="auto"/>
          </w:divBdr>
        </w:div>
        <w:div w:id="168375845">
          <w:marLeft w:val="0"/>
          <w:marRight w:val="0"/>
          <w:marTop w:val="0"/>
          <w:marBottom w:val="0"/>
          <w:divBdr>
            <w:top w:val="none" w:sz="0" w:space="0" w:color="auto"/>
            <w:left w:val="none" w:sz="0" w:space="0" w:color="auto"/>
            <w:bottom w:val="none" w:sz="0" w:space="0" w:color="auto"/>
            <w:right w:val="none" w:sz="0" w:space="0" w:color="auto"/>
          </w:divBdr>
        </w:div>
        <w:div w:id="816144314">
          <w:marLeft w:val="0"/>
          <w:marRight w:val="0"/>
          <w:marTop w:val="0"/>
          <w:marBottom w:val="0"/>
          <w:divBdr>
            <w:top w:val="none" w:sz="0" w:space="0" w:color="auto"/>
            <w:left w:val="none" w:sz="0" w:space="0" w:color="auto"/>
            <w:bottom w:val="none" w:sz="0" w:space="0" w:color="auto"/>
            <w:right w:val="none" w:sz="0" w:space="0" w:color="auto"/>
          </w:divBdr>
        </w:div>
        <w:div w:id="83840290">
          <w:marLeft w:val="0"/>
          <w:marRight w:val="0"/>
          <w:marTop w:val="0"/>
          <w:marBottom w:val="0"/>
          <w:divBdr>
            <w:top w:val="none" w:sz="0" w:space="0" w:color="auto"/>
            <w:left w:val="none" w:sz="0" w:space="0" w:color="auto"/>
            <w:bottom w:val="none" w:sz="0" w:space="0" w:color="auto"/>
            <w:right w:val="none" w:sz="0" w:space="0" w:color="auto"/>
          </w:divBdr>
        </w:div>
        <w:div w:id="969358043">
          <w:marLeft w:val="0"/>
          <w:marRight w:val="0"/>
          <w:marTop w:val="0"/>
          <w:marBottom w:val="0"/>
          <w:divBdr>
            <w:top w:val="none" w:sz="0" w:space="0" w:color="auto"/>
            <w:left w:val="none" w:sz="0" w:space="0" w:color="auto"/>
            <w:bottom w:val="none" w:sz="0" w:space="0" w:color="auto"/>
            <w:right w:val="none" w:sz="0" w:space="0" w:color="auto"/>
          </w:divBdr>
        </w:div>
        <w:div w:id="106704884">
          <w:marLeft w:val="0"/>
          <w:marRight w:val="0"/>
          <w:marTop w:val="0"/>
          <w:marBottom w:val="0"/>
          <w:divBdr>
            <w:top w:val="none" w:sz="0" w:space="0" w:color="auto"/>
            <w:left w:val="none" w:sz="0" w:space="0" w:color="auto"/>
            <w:bottom w:val="none" w:sz="0" w:space="0" w:color="auto"/>
            <w:right w:val="none" w:sz="0" w:space="0" w:color="auto"/>
          </w:divBdr>
        </w:div>
        <w:div w:id="1155877705">
          <w:marLeft w:val="0"/>
          <w:marRight w:val="0"/>
          <w:marTop w:val="0"/>
          <w:marBottom w:val="0"/>
          <w:divBdr>
            <w:top w:val="none" w:sz="0" w:space="0" w:color="auto"/>
            <w:left w:val="none" w:sz="0" w:space="0" w:color="auto"/>
            <w:bottom w:val="none" w:sz="0" w:space="0" w:color="auto"/>
            <w:right w:val="none" w:sz="0" w:space="0" w:color="auto"/>
          </w:divBdr>
        </w:div>
        <w:div w:id="1119642080">
          <w:marLeft w:val="0"/>
          <w:marRight w:val="0"/>
          <w:marTop w:val="0"/>
          <w:marBottom w:val="0"/>
          <w:divBdr>
            <w:top w:val="none" w:sz="0" w:space="0" w:color="auto"/>
            <w:left w:val="none" w:sz="0" w:space="0" w:color="auto"/>
            <w:bottom w:val="none" w:sz="0" w:space="0" w:color="auto"/>
            <w:right w:val="none" w:sz="0" w:space="0" w:color="auto"/>
          </w:divBdr>
        </w:div>
        <w:div w:id="1927031557">
          <w:marLeft w:val="0"/>
          <w:marRight w:val="0"/>
          <w:marTop w:val="0"/>
          <w:marBottom w:val="0"/>
          <w:divBdr>
            <w:top w:val="none" w:sz="0" w:space="0" w:color="auto"/>
            <w:left w:val="none" w:sz="0" w:space="0" w:color="auto"/>
            <w:bottom w:val="none" w:sz="0" w:space="0" w:color="auto"/>
            <w:right w:val="none" w:sz="0" w:space="0" w:color="auto"/>
          </w:divBdr>
        </w:div>
        <w:div w:id="1891721717">
          <w:marLeft w:val="0"/>
          <w:marRight w:val="0"/>
          <w:marTop w:val="0"/>
          <w:marBottom w:val="0"/>
          <w:divBdr>
            <w:top w:val="none" w:sz="0" w:space="0" w:color="auto"/>
            <w:left w:val="none" w:sz="0" w:space="0" w:color="auto"/>
            <w:bottom w:val="none" w:sz="0" w:space="0" w:color="auto"/>
            <w:right w:val="none" w:sz="0" w:space="0" w:color="auto"/>
          </w:divBdr>
        </w:div>
        <w:div w:id="532235690">
          <w:marLeft w:val="0"/>
          <w:marRight w:val="0"/>
          <w:marTop w:val="0"/>
          <w:marBottom w:val="0"/>
          <w:divBdr>
            <w:top w:val="none" w:sz="0" w:space="0" w:color="auto"/>
            <w:left w:val="none" w:sz="0" w:space="0" w:color="auto"/>
            <w:bottom w:val="none" w:sz="0" w:space="0" w:color="auto"/>
            <w:right w:val="none" w:sz="0" w:space="0" w:color="auto"/>
          </w:divBdr>
        </w:div>
        <w:div w:id="764956896">
          <w:marLeft w:val="0"/>
          <w:marRight w:val="0"/>
          <w:marTop w:val="0"/>
          <w:marBottom w:val="0"/>
          <w:divBdr>
            <w:top w:val="none" w:sz="0" w:space="0" w:color="auto"/>
            <w:left w:val="none" w:sz="0" w:space="0" w:color="auto"/>
            <w:bottom w:val="none" w:sz="0" w:space="0" w:color="auto"/>
            <w:right w:val="none" w:sz="0" w:space="0" w:color="auto"/>
          </w:divBdr>
        </w:div>
        <w:div w:id="1002243214">
          <w:marLeft w:val="0"/>
          <w:marRight w:val="0"/>
          <w:marTop w:val="0"/>
          <w:marBottom w:val="0"/>
          <w:divBdr>
            <w:top w:val="none" w:sz="0" w:space="0" w:color="auto"/>
            <w:left w:val="none" w:sz="0" w:space="0" w:color="auto"/>
            <w:bottom w:val="none" w:sz="0" w:space="0" w:color="auto"/>
            <w:right w:val="none" w:sz="0" w:space="0" w:color="auto"/>
          </w:divBdr>
        </w:div>
        <w:div w:id="1193149189">
          <w:marLeft w:val="0"/>
          <w:marRight w:val="0"/>
          <w:marTop w:val="0"/>
          <w:marBottom w:val="0"/>
          <w:divBdr>
            <w:top w:val="none" w:sz="0" w:space="0" w:color="auto"/>
            <w:left w:val="none" w:sz="0" w:space="0" w:color="auto"/>
            <w:bottom w:val="none" w:sz="0" w:space="0" w:color="auto"/>
            <w:right w:val="none" w:sz="0" w:space="0" w:color="auto"/>
          </w:divBdr>
        </w:div>
        <w:div w:id="1517383452">
          <w:marLeft w:val="0"/>
          <w:marRight w:val="0"/>
          <w:marTop w:val="0"/>
          <w:marBottom w:val="0"/>
          <w:divBdr>
            <w:top w:val="none" w:sz="0" w:space="0" w:color="auto"/>
            <w:left w:val="none" w:sz="0" w:space="0" w:color="auto"/>
            <w:bottom w:val="none" w:sz="0" w:space="0" w:color="auto"/>
            <w:right w:val="none" w:sz="0" w:space="0" w:color="auto"/>
          </w:divBdr>
        </w:div>
        <w:div w:id="934361130">
          <w:marLeft w:val="0"/>
          <w:marRight w:val="0"/>
          <w:marTop w:val="0"/>
          <w:marBottom w:val="0"/>
          <w:divBdr>
            <w:top w:val="none" w:sz="0" w:space="0" w:color="auto"/>
            <w:left w:val="none" w:sz="0" w:space="0" w:color="auto"/>
            <w:bottom w:val="none" w:sz="0" w:space="0" w:color="auto"/>
            <w:right w:val="none" w:sz="0" w:space="0" w:color="auto"/>
          </w:divBdr>
        </w:div>
        <w:div w:id="695733616">
          <w:marLeft w:val="0"/>
          <w:marRight w:val="0"/>
          <w:marTop w:val="0"/>
          <w:marBottom w:val="0"/>
          <w:divBdr>
            <w:top w:val="none" w:sz="0" w:space="0" w:color="auto"/>
            <w:left w:val="none" w:sz="0" w:space="0" w:color="auto"/>
            <w:bottom w:val="none" w:sz="0" w:space="0" w:color="auto"/>
            <w:right w:val="none" w:sz="0" w:space="0" w:color="auto"/>
          </w:divBdr>
        </w:div>
        <w:div w:id="239104697">
          <w:marLeft w:val="0"/>
          <w:marRight w:val="0"/>
          <w:marTop w:val="0"/>
          <w:marBottom w:val="0"/>
          <w:divBdr>
            <w:top w:val="none" w:sz="0" w:space="0" w:color="auto"/>
            <w:left w:val="none" w:sz="0" w:space="0" w:color="auto"/>
            <w:bottom w:val="none" w:sz="0" w:space="0" w:color="auto"/>
            <w:right w:val="none" w:sz="0" w:space="0" w:color="auto"/>
          </w:divBdr>
        </w:div>
        <w:div w:id="1556625043">
          <w:marLeft w:val="0"/>
          <w:marRight w:val="0"/>
          <w:marTop w:val="0"/>
          <w:marBottom w:val="0"/>
          <w:divBdr>
            <w:top w:val="none" w:sz="0" w:space="0" w:color="auto"/>
            <w:left w:val="none" w:sz="0" w:space="0" w:color="auto"/>
            <w:bottom w:val="none" w:sz="0" w:space="0" w:color="auto"/>
            <w:right w:val="none" w:sz="0" w:space="0" w:color="auto"/>
          </w:divBdr>
        </w:div>
        <w:div w:id="1301761903">
          <w:marLeft w:val="0"/>
          <w:marRight w:val="0"/>
          <w:marTop w:val="0"/>
          <w:marBottom w:val="0"/>
          <w:divBdr>
            <w:top w:val="none" w:sz="0" w:space="0" w:color="auto"/>
            <w:left w:val="none" w:sz="0" w:space="0" w:color="auto"/>
            <w:bottom w:val="none" w:sz="0" w:space="0" w:color="auto"/>
            <w:right w:val="none" w:sz="0" w:space="0" w:color="auto"/>
          </w:divBdr>
        </w:div>
        <w:div w:id="73860916">
          <w:marLeft w:val="0"/>
          <w:marRight w:val="0"/>
          <w:marTop w:val="0"/>
          <w:marBottom w:val="0"/>
          <w:divBdr>
            <w:top w:val="none" w:sz="0" w:space="0" w:color="auto"/>
            <w:left w:val="none" w:sz="0" w:space="0" w:color="auto"/>
            <w:bottom w:val="none" w:sz="0" w:space="0" w:color="auto"/>
            <w:right w:val="none" w:sz="0" w:space="0" w:color="auto"/>
          </w:divBdr>
        </w:div>
        <w:div w:id="1519612645">
          <w:marLeft w:val="0"/>
          <w:marRight w:val="0"/>
          <w:marTop w:val="0"/>
          <w:marBottom w:val="0"/>
          <w:divBdr>
            <w:top w:val="none" w:sz="0" w:space="0" w:color="auto"/>
            <w:left w:val="none" w:sz="0" w:space="0" w:color="auto"/>
            <w:bottom w:val="none" w:sz="0" w:space="0" w:color="auto"/>
            <w:right w:val="none" w:sz="0" w:space="0" w:color="auto"/>
          </w:divBdr>
        </w:div>
        <w:div w:id="1715501144">
          <w:marLeft w:val="0"/>
          <w:marRight w:val="0"/>
          <w:marTop w:val="0"/>
          <w:marBottom w:val="0"/>
          <w:divBdr>
            <w:top w:val="none" w:sz="0" w:space="0" w:color="auto"/>
            <w:left w:val="none" w:sz="0" w:space="0" w:color="auto"/>
            <w:bottom w:val="none" w:sz="0" w:space="0" w:color="auto"/>
            <w:right w:val="none" w:sz="0" w:space="0" w:color="auto"/>
          </w:divBdr>
        </w:div>
        <w:div w:id="52850648">
          <w:marLeft w:val="0"/>
          <w:marRight w:val="0"/>
          <w:marTop w:val="0"/>
          <w:marBottom w:val="0"/>
          <w:divBdr>
            <w:top w:val="none" w:sz="0" w:space="0" w:color="auto"/>
            <w:left w:val="none" w:sz="0" w:space="0" w:color="auto"/>
            <w:bottom w:val="none" w:sz="0" w:space="0" w:color="auto"/>
            <w:right w:val="none" w:sz="0" w:space="0" w:color="auto"/>
          </w:divBdr>
        </w:div>
        <w:div w:id="1533152766">
          <w:marLeft w:val="0"/>
          <w:marRight w:val="0"/>
          <w:marTop w:val="0"/>
          <w:marBottom w:val="0"/>
          <w:divBdr>
            <w:top w:val="none" w:sz="0" w:space="0" w:color="auto"/>
            <w:left w:val="none" w:sz="0" w:space="0" w:color="auto"/>
            <w:bottom w:val="none" w:sz="0" w:space="0" w:color="auto"/>
            <w:right w:val="none" w:sz="0" w:space="0" w:color="auto"/>
          </w:divBdr>
        </w:div>
        <w:div w:id="1722366874">
          <w:marLeft w:val="0"/>
          <w:marRight w:val="0"/>
          <w:marTop w:val="0"/>
          <w:marBottom w:val="0"/>
          <w:divBdr>
            <w:top w:val="none" w:sz="0" w:space="0" w:color="auto"/>
            <w:left w:val="none" w:sz="0" w:space="0" w:color="auto"/>
            <w:bottom w:val="none" w:sz="0" w:space="0" w:color="auto"/>
            <w:right w:val="none" w:sz="0" w:space="0" w:color="auto"/>
          </w:divBdr>
        </w:div>
        <w:div w:id="503983982">
          <w:marLeft w:val="0"/>
          <w:marRight w:val="0"/>
          <w:marTop w:val="0"/>
          <w:marBottom w:val="0"/>
          <w:divBdr>
            <w:top w:val="none" w:sz="0" w:space="0" w:color="auto"/>
            <w:left w:val="none" w:sz="0" w:space="0" w:color="auto"/>
            <w:bottom w:val="none" w:sz="0" w:space="0" w:color="auto"/>
            <w:right w:val="none" w:sz="0" w:space="0" w:color="auto"/>
          </w:divBdr>
        </w:div>
        <w:div w:id="478807991">
          <w:marLeft w:val="0"/>
          <w:marRight w:val="0"/>
          <w:marTop w:val="0"/>
          <w:marBottom w:val="0"/>
          <w:divBdr>
            <w:top w:val="none" w:sz="0" w:space="0" w:color="auto"/>
            <w:left w:val="none" w:sz="0" w:space="0" w:color="auto"/>
            <w:bottom w:val="none" w:sz="0" w:space="0" w:color="auto"/>
            <w:right w:val="none" w:sz="0" w:space="0" w:color="auto"/>
          </w:divBdr>
        </w:div>
        <w:div w:id="61216901">
          <w:marLeft w:val="0"/>
          <w:marRight w:val="0"/>
          <w:marTop w:val="0"/>
          <w:marBottom w:val="0"/>
          <w:divBdr>
            <w:top w:val="none" w:sz="0" w:space="0" w:color="auto"/>
            <w:left w:val="none" w:sz="0" w:space="0" w:color="auto"/>
            <w:bottom w:val="none" w:sz="0" w:space="0" w:color="auto"/>
            <w:right w:val="none" w:sz="0" w:space="0" w:color="auto"/>
          </w:divBdr>
        </w:div>
        <w:div w:id="1098403825">
          <w:marLeft w:val="0"/>
          <w:marRight w:val="0"/>
          <w:marTop w:val="0"/>
          <w:marBottom w:val="0"/>
          <w:divBdr>
            <w:top w:val="none" w:sz="0" w:space="0" w:color="auto"/>
            <w:left w:val="none" w:sz="0" w:space="0" w:color="auto"/>
            <w:bottom w:val="none" w:sz="0" w:space="0" w:color="auto"/>
            <w:right w:val="none" w:sz="0" w:space="0" w:color="auto"/>
          </w:divBdr>
        </w:div>
        <w:div w:id="1701512719">
          <w:marLeft w:val="0"/>
          <w:marRight w:val="0"/>
          <w:marTop w:val="0"/>
          <w:marBottom w:val="0"/>
          <w:divBdr>
            <w:top w:val="none" w:sz="0" w:space="0" w:color="auto"/>
            <w:left w:val="none" w:sz="0" w:space="0" w:color="auto"/>
            <w:bottom w:val="none" w:sz="0" w:space="0" w:color="auto"/>
            <w:right w:val="none" w:sz="0" w:space="0" w:color="auto"/>
          </w:divBdr>
        </w:div>
        <w:div w:id="2146972417">
          <w:marLeft w:val="0"/>
          <w:marRight w:val="0"/>
          <w:marTop w:val="0"/>
          <w:marBottom w:val="0"/>
          <w:divBdr>
            <w:top w:val="none" w:sz="0" w:space="0" w:color="auto"/>
            <w:left w:val="none" w:sz="0" w:space="0" w:color="auto"/>
            <w:bottom w:val="none" w:sz="0" w:space="0" w:color="auto"/>
            <w:right w:val="none" w:sz="0" w:space="0" w:color="auto"/>
          </w:divBdr>
        </w:div>
        <w:div w:id="1017734972">
          <w:marLeft w:val="0"/>
          <w:marRight w:val="0"/>
          <w:marTop w:val="0"/>
          <w:marBottom w:val="0"/>
          <w:divBdr>
            <w:top w:val="none" w:sz="0" w:space="0" w:color="auto"/>
            <w:left w:val="none" w:sz="0" w:space="0" w:color="auto"/>
            <w:bottom w:val="none" w:sz="0" w:space="0" w:color="auto"/>
            <w:right w:val="none" w:sz="0" w:space="0" w:color="auto"/>
          </w:divBdr>
        </w:div>
        <w:div w:id="462039014">
          <w:marLeft w:val="0"/>
          <w:marRight w:val="0"/>
          <w:marTop w:val="0"/>
          <w:marBottom w:val="0"/>
          <w:divBdr>
            <w:top w:val="none" w:sz="0" w:space="0" w:color="auto"/>
            <w:left w:val="none" w:sz="0" w:space="0" w:color="auto"/>
            <w:bottom w:val="none" w:sz="0" w:space="0" w:color="auto"/>
            <w:right w:val="none" w:sz="0" w:space="0" w:color="auto"/>
          </w:divBdr>
        </w:div>
        <w:div w:id="1029837583">
          <w:marLeft w:val="0"/>
          <w:marRight w:val="0"/>
          <w:marTop w:val="0"/>
          <w:marBottom w:val="0"/>
          <w:divBdr>
            <w:top w:val="none" w:sz="0" w:space="0" w:color="auto"/>
            <w:left w:val="none" w:sz="0" w:space="0" w:color="auto"/>
            <w:bottom w:val="none" w:sz="0" w:space="0" w:color="auto"/>
            <w:right w:val="none" w:sz="0" w:space="0" w:color="auto"/>
          </w:divBdr>
        </w:div>
        <w:div w:id="829638800">
          <w:marLeft w:val="0"/>
          <w:marRight w:val="0"/>
          <w:marTop w:val="0"/>
          <w:marBottom w:val="0"/>
          <w:divBdr>
            <w:top w:val="none" w:sz="0" w:space="0" w:color="auto"/>
            <w:left w:val="none" w:sz="0" w:space="0" w:color="auto"/>
            <w:bottom w:val="none" w:sz="0" w:space="0" w:color="auto"/>
            <w:right w:val="none" w:sz="0" w:space="0" w:color="auto"/>
          </w:divBdr>
        </w:div>
        <w:div w:id="1352993922">
          <w:marLeft w:val="0"/>
          <w:marRight w:val="0"/>
          <w:marTop w:val="0"/>
          <w:marBottom w:val="0"/>
          <w:divBdr>
            <w:top w:val="none" w:sz="0" w:space="0" w:color="auto"/>
            <w:left w:val="none" w:sz="0" w:space="0" w:color="auto"/>
            <w:bottom w:val="none" w:sz="0" w:space="0" w:color="auto"/>
            <w:right w:val="none" w:sz="0" w:space="0" w:color="auto"/>
          </w:divBdr>
        </w:div>
        <w:div w:id="1947422987">
          <w:marLeft w:val="0"/>
          <w:marRight w:val="0"/>
          <w:marTop w:val="0"/>
          <w:marBottom w:val="0"/>
          <w:divBdr>
            <w:top w:val="none" w:sz="0" w:space="0" w:color="auto"/>
            <w:left w:val="none" w:sz="0" w:space="0" w:color="auto"/>
            <w:bottom w:val="none" w:sz="0" w:space="0" w:color="auto"/>
            <w:right w:val="none" w:sz="0" w:space="0" w:color="auto"/>
          </w:divBdr>
        </w:div>
        <w:div w:id="989089874">
          <w:marLeft w:val="0"/>
          <w:marRight w:val="0"/>
          <w:marTop w:val="0"/>
          <w:marBottom w:val="0"/>
          <w:divBdr>
            <w:top w:val="none" w:sz="0" w:space="0" w:color="auto"/>
            <w:left w:val="none" w:sz="0" w:space="0" w:color="auto"/>
            <w:bottom w:val="none" w:sz="0" w:space="0" w:color="auto"/>
            <w:right w:val="none" w:sz="0" w:space="0" w:color="auto"/>
          </w:divBdr>
        </w:div>
        <w:div w:id="2015649242">
          <w:marLeft w:val="0"/>
          <w:marRight w:val="0"/>
          <w:marTop w:val="0"/>
          <w:marBottom w:val="0"/>
          <w:divBdr>
            <w:top w:val="none" w:sz="0" w:space="0" w:color="auto"/>
            <w:left w:val="none" w:sz="0" w:space="0" w:color="auto"/>
            <w:bottom w:val="none" w:sz="0" w:space="0" w:color="auto"/>
            <w:right w:val="none" w:sz="0" w:space="0" w:color="auto"/>
          </w:divBdr>
        </w:div>
        <w:div w:id="101338360">
          <w:marLeft w:val="0"/>
          <w:marRight w:val="0"/>
          <w:marTop w:val="0"/>
          <w:marBottom w:val="0"/>
          <w:divBdr>
            <w:top w:val="none" w:sz="0" w:space="0" w:color="auto"/>
            <w:left w:val="none" w:sz="0" w:space="0" w:color="auto"/>
            <w:bottom w:val="none" w:sz="0" w:space="0" w:color="auto"/>
            <w:right w:val="none" w:sz="0" w:space="0" w:color="auto"/>
          </w:divBdr>
        </w:div>
        <w:div w:id="1688363661">
          <w:marLeft w:val="0"/>
          <w:marRight w:val="0"/>
          <w:marTop w:val="0"/>
          <w:marBottom w:val="0"/>
          <w:divBdr>
            <w:top w:val="none" w:sz="0" w:space="0" w:color="auto"/>
            <w:left w:val="none" w:sz="0" w:space="0" w:color="auto"/>
            <w:bottom w:val="none" w:sz="0" w:space="0" w:color="auto"/>
            <w:right w:val="none" w:sz="0" w:space="0" w:color="auto"/>
          </w:divBdr>
        </w:div>
        <w:div w:id="1795056677">
          <w:marLeft w:val="0"/>
          <w:marRight w:val="0"/>
          <w:marTop w:val="0"/>
          <w:marBottom w:val="0"/>
          <w:divBdr>
            <w:top w:val="none" w:sz="0" w:space="0" w:color="auto"/>
            <w:left w:val="none" w:sz="0" w:space="0" w:color="auto"/>
            <w:bottom w:val="none" w:sz="0" w:space="0" w:color="auto"/>
            <w:right w:val="none" w:sz="0" w:space="0" w:color="auto"/>
          </w:divBdr>
        </w:div>
        <w:div w:id="208304326">
          <w:marLeft w:val="0"/>
          <w:marRight w:val="0"/>
          <w:marTop w:val="0"/>
          <w:marBottom w:val="0"/>
          <w:divBdr>
            <w:top w:val="none" w:sz="0" w:space="0" w:color="auto"/>
            <w:left w:val="none" w:sz="0" w:space="0" w:color="auto"/>
            <w:bottom w:val="none" w:sz="0" w:space="0" w:color="auto"/>
            <w:right w:val="none" w:sz="0" w:space="0" w:color="auto"/>
          </w:divBdr>
        </w:div>
        <w:div w:id="2135252052">
          <w:marLeft w:val="0"/>
          <w:marRight w:val="0"/>
          <w:marTop w:val="0"/>
          <w:marBottom w:val="0"/>
          <w:divBdr>
            <w:top w:val="none" w:sz="0" w:space="0" w:color="auto"/>
            <w:left w:val="none" w:sz="0" w:space="0" w:color="auto"/>
            <w:bottom w:val="none" w:sz="0" w:space="0" w:color="auto"/>
            <w:right w:val="none" w:sz="0" w:space="0" w:color="auto"/>
          </w:divBdr>
        </w:div>
        <w:div w:id="870604463">
          <w:marLeft w:val="0"/>
          <w:marRight w:val="0"/>
          <w:marTop w:val="0"/>
          <w:marBottom w:val="0"/>
          <w:divBdr>
            <w:top w:val="none" w:sz="0" w:space="0" w:color="auto"/>
            <w:left w:val="none" w:sz="0" w:space="0" w:color="auto"/>
            <w:bottom w:val="none" w:sz="0" w:space="0" w:color="auto"/>
            <w:right w:val="none" w:sz="0" w:space="0" w:color="auto"/>
          </w:divBdr>
        </w:div>
        <w:div w:id="2056347027">
          <w:marLeft w:val="0"/>
          <w:marRight w:val="0"/>
          <w:marTop w:val="0"/>
          <w:marBottom w:val="0"/>
          <w:divBdr>
            <w:top w:val="none" w:sz="0" w:space="0" w:color="auto"/>
            <w:left w:val="none" w:sz="0" w:space="0" w:color="auto"/>
            <w:bottom w:val="none" w:sz="0" w:space="0" w:color="auto"/>
            <w:right w:val="none" w:sz="0" w:space="0" w:color="auto"/>
          </w:divBdr>
        </w:div>
        <w:div w:id="1854297565">
          <w:marLeft w:val="0"/>
          <w:marRight w:val="0"/>
          <w:marTop w:val="0"/>
          <w:marBottom w:val="0"/>
          <w:divBdr>
            <w:top w:val="none" w:sz="0" w:space="0" w:color="auto"/>
            <w:left w:val="none" w:sz="0" w:space="0" w:color="auto"/>
            <w:bottom w:val="none" w:sz="0" w:space="0" w:color="auto"/>
            <w:right w:val="none" w:sz="0" w:space="0" w:color="auto"/>
          </w:divBdr>
        </w:div>
        <w:div w:id="644547676">
          <w:marLeft w:val="0"/>
          <w:marRight w:val="0"/>
          <w:marTop w:val="0"/>
          <w:marBottom w:val="0"/>
          <w:divBdr>
            <w:top w:val="none" w:sz="0" w:space="0" w:color="auto"/>
            <w:left w:val="none" w:sz="0" w:space="0" w:color="auto"/>
            <w:bottom w:val="none" w:sz="0" w:space="0" w:color="auto"/>
            <w:right w:val="none" w:sz="0" w:space="0" w:color="auto"/>
          </w:divBdr>
        </w:div>
        <w:div w:id="1020856810">
          <w:marLeft w:val="0"/>
          <w:marRight w:val="0"/>
          <w:marTop w:val="0"/>
          <w:marBottom w:val="0"/>
          <w:divBdr>
            <w:top w:val="none" w:sz="0" w:space="0" w:color="auto"/>
            <w:left w:val="none" w:sz="0" w:space="0" w:color="auto"/>
            <w:bottom w:val="none" w:sz="0" w:space="0" w:color="auto"/>
            <w:right w:val="none" w:sz="0" w:space="0" w:color="auto"/>
          </w:divBdr>
        </w:div>
        <w:div w:id="1414544363">
          <w:marLeft w:val="0"/>
          <w:marRight w:val="0"/>
          <w:marTop w:val="0"/>
          <w:marBottom w:val="0"/>
          <w:divBdr>
            <w:top w:val="none" w:sz="0" w:space="0" w:color="auto"/>
            <w:left w:val="none" w:sz="0" w:space="0" w:color="auto"/>
            <w:bottom w:val="none" w:sz="0" w:space="0" w:color="auto"/>
            <w:right w:val="none" w:sz="0" w:space="0" w:color="auto"/>
          </w:divBdr>
        </w:div>
        <w:div w:id="1278681856">
          <w:marLeft w:val="0"/>
          <w:marRight w:val="0"/>
          <w:marTop w:val="0"/>
          <w:marBottom w:val="0"/>
          <w:divBdr>
            <w:top w:val="none" w:sz="0" w:space="0" w:color="auto"/>
            <w:left w:val="none" w:sz="0" w:space="0" w:color="auto"/>
            <w:bottom w:val="none" w:sz="0" w:space="0" w:color="auto"/>
            <w:right w:val="none" w:sz="0" w:space="0" w:color="auto"/>
          </w:divBdr>
        </w:div>
        <w:div w:id="1292635762">
          <w:marLeft w:val="0"/>
          <w:marRight w:val="0"/>
          <w:marTop w:val="0"/>
          <w:marBottom w:val="0"/>
          <w:divBdr>
            <w:top w:val="none" w:sz="0" w:space="0" w:color="auto"/>
            <w:left w:val="none" w:sz="0" w:space="0" w:color="auto"/>
            <w:bottom w:val="none" w:sz="0" w:space="0" w:color="auto"/>
            <w:right w:val="none" w:sz="0" w:space="0" w:color="auto"/>
          </w:divBdr>
        </w:div>
        <w:div w:id="887228976">
          <w:marLeft w:val="0"/>
          <w:marRight w:val="0"/>
          <w:marTop w:val="0"/>
          <w:marBottom w:val="0"/>
          <w:divBdr>
            <w:top w:val="none" w:sz="0" w:space="0" w:color="auto"/>
            <w:left w:val="none" w:sz="0" w:space="0" w:color="auto"/>
            <w:bottom w:val="none" w:sz="0" w:space="0" w:color="auto"/>
            <w:right w:val="none" w:sz="0" w:space="0" w:color="auto"/>
          </w:divBdr>
        </w:div>
        <w:div w:id="1880429523">
          <w:marLeft w:val="0"/>
          <w:marRight w:val="0"/>
          <w:marTop w:val="0"/>
          <w:marBottom w:val="0"/>
          <w:divBdr>
            <w:top w:val="none" w:sz="0" w:space="0" w:color="auto"/>
            <w:left w:val="none" w:sz="0" w:space="0" w:color="auto"/>
            <w:bottom w:val="none" w:sz="0" w:space="0" w:color="auto"/>
            <w:right w:val="none" w:sz="0" w:space="0" w:color="auto"/>
          </w:divBdr>
        </w:div>
        <w:div w:id="114712445">
          <w:marLeft w:val="0"/>
          <w:marRight w:val="0"/>
          <w:marTop w:val="0"/>
          <w:marBottom w:val="0"/>
          <w:divBdr>
            <w:top w:val="none" w:sz="0" w:space="0" w:color="auto"/>
            <w:left w:val="none" w:sz="0" w:space="0" w:color="auto"/>
            <w:bottom w:val="none" w:sz="0" w:space="0" w:color="auto"/>
            <w:right w:val="none" w:sz="0" w:space="0" w:color="auto"/>
          </w:divBdr>
        </w:div>
        <w:div w:id="1463956613">
          <w:marLeft w:val="0"/>
          <w:marRight w:val="0"/>
          <w:marTop w:val="0"/>
          <w:marBottom w:val="0"/>
          <w:divBdr>
            <w:top w:val="none" w:sz="0" w:space="0" w:color="auto"/>
            <w:left w:val="none" w:sz="0" w:space="0" w:color="auto"/>
            <w:bottom w:val="none" w:sz="0" w:space="0" w:color="auto"/>
            <w:right w:val="none" w:sz="0" w:space="0" w:color="auto"/>
          </w:divBdr>
        </w:div>
        <w:div w:id="1598245828">
          <w:marLeft w:val="0"/>
          <w:marRight w:val="0"/>
          <w:marTop w:val="0"/>
          <w:marBottom w:val="0"/>
          <w:divBdr>
            <w:top w:val="none" w:sz="0" w:space="0" w:color="auto"/>
            <w:left w:val="none" w:sz="0" w:space="0" w:color="auto"/>
            <w:bottom w:val="none" w:sz="0" w:space="0" w:color="auto"/>
            <w:right w:val="none" w:sz="0" w:space="0" w:color="auto"/>
          </w:divBdr>
        </w:div>
      </w:divsChild>
    </w:div>
    <w:div w:id="1039210164">
      <w:bodyDiv w:val="1"/>
      <w:marLeft w:val="0"/>
      <w:marRight w:val="0"/>
      <w:marTop w:val="0"/>
      <w:marBottom w:val="0"/>
      <w:divBdr>
        <w:top w:val="none" w:sz="0" w:space="0" w:color="auto"/>
        <w:left w:val="none" w:sz="0" w:space="0" w:color="auto"/>
        <w:bottom w:val="none" w:sz="0" w:space="0" w:color="auto"/>
        <w:right w:val="none" w:sz="0" w:space="0" w:color="auto"/>
      </w:divBdr>
    </w:div>
    <w:div w:id="1077286557">
      <w:bodyDiv w:val="1"/>
      <w:marLeft w:val="0"/>
      <w:marRight w:val="0"/>
      <w:marTop w:val="0"/>
      <w:marBottom w:val="0"/>
      <w:divBdr>
        <w:top w:val="none" w:sz="0" w:space="0" w:color="auto"/>
        <w:left w:val="none" w:sz="0" w:space="0" w:color="auto"/>
        <w:bottom w:val="none" w:sz="0" w:space="0" w:color="auto"/>
        <w:right w:val="none" w:sz="0" w:space="0" w:color="auto"/>
      </w:divBdr>
    </w:div>
    <w:div w:id="1139882403">
      <w:bodyDiv w:val="1"/>
      <w:marLeft w:val="0"/>
      <w:marRight w:val="0"/>
      <w:marTop w:val="0"/>
      <w:marBottom w:val="0"/>
      <w:divBdr>
        <w:top w:val="none" w:sz="0" w:space="0" w:color="auto"/>
        <w:left w:val="none" w:sz="0" w:space="0" w:color="auto"/>
        <w:bottom w:val="none" w:sz="0" w:space="0" w:color="auto"/>
        <w:right w:val="none" w:sz="0" w:space="0" w:color="auto"/>
      </w:divBdr>
    </w:div>
    <w:div w:id="1299610814">
      <w:bodyDiv w:val="1"/>
      <w:marLeft w:val="0"/>
      <w:marRight w:val="0"/>
      <w:marTop w:val="0"/>
      <w:marBottom w:val="0"/>
      <w:divBdr>
        <w:top w:val="none" w:sz="0" w:space="0" w:color="auto"/>
        <w:left w:val="none" w:sz="0" w:space="0" w:color="auto"/>
        <w:bottom w:val="none" w:sz="0" w:space="0" w:color="auto"/>
        <w:right w:val="none" w:sz="0" w:space="0" w:color="auto"/>
      </w:divBdr>
    </w:div>
    <w:div w:id="1302617494">
      <w:bodyDiv w:val="1"/>
      <w:marLeft w:val="0"/>
      <w:marRight w:val="0"/>
      <w:marTop w:val="0"/>
      <w:marBottom w:val="0"/>
      <w:divBdr>
        <w:top w:val="none" w:sz="0" w:space="0" w:color="auto"/>
        <w:left w:val="none" w:sz="0" w:space="0" w:color="auto"/>
        <w:bottom w:val="none" w:sz="0" w:space="0" w:color="auto"/>
        <w:right w:val="none" w:sz="0" w:space="0" w:color="auto"/>
      </w:divBdr>
    </w:div>
    <w:div w:id="1363097511">
      <w:bodyDiv w:val="1"/>
      <w:marLeft w:val="0"/>
      <w:marRight w:val="0"/>
      <w:marTop w:val="0"/>
      <w:marBottom w:val="0"/>
      <w:divBdr>
        <w:top w:val="none" w:sz="0" w:space="0" w:color="auto"/>
        <w:left w:val="none" w:sz="0" w:space="0" w:color="auto"/>
        <w:bottom w:val="none" w:sz="0" w:space="0" w:color="auto"/>
        <w:right w:val="none" w:sz="0" w:space="0" w:color="auto"/>
      </w:divBdr>
    </w:div>
    <w:div w:id="1490974662">
      <w:bodyDiv w:val="1"/>
      <w:marLeft w:val="0"/>
      <w:marRight w:val="0"/>
      <w:marTop w:val="0"/>
      <w:marBottom w:val="0"/>
      <w:divBdr>
        <w:top w:val="none" w:sz="0" w:space="0" w:color="auto"/>
        <w:left w:val="none" w:sz="0" w:space="0" w:color="auto"/>
        <w:bottom w:val="none" w:sz="0" w:space="0" w:color="auto"/>
        <w:right w:val="none" w:sz="0" w:space="0" w:color="auto"/>
      </w:divBdr>
    </w:div>
    <w:div w:id="1499927544">
      <w:bodyDiv w:val="1"/>
      <w:marLeft w:val="0"/>
      <w:marRight w:val="0"/>
      <w:marTop w:val="0"/>
      <w:marBottom w:val="0"/>
      <w:divBdr>
        <w:top w:val="none" w:sz="0" w:space="0" w:color="auto"/>
        <w:left w:val="none" w:sz="0" w:space="0" w:color="auto"/>
        <w:bottom w:val="none" w:sz="0" w:space="0" w:color="auto"/>
        <w:right w:val="none" w:sz="0" w:space="0" w:color="auto"/>
      </w:divBdr>
    </w:div>
    <w:div w:id="1514488003">
      <w:bodyDiv w:val="1"/>
      <w:marLeft w:val="0"/>
      <w:marRight w:val="0"/>
      <w:marTop w:val="0"/>
      <w:marBottom w:val="0"/>
      <w:divBdr>
        <w:top w:val="none" w:sz="0" w:space="0" w:color="auto"/>
        <w:left w:val="none" w:sz="0" w:space="0" w:color="auto"/>
        <w:bottom w:val="none" w:sz="0" w:space="0" w:color="auto"/>
        <w:right w:val="none" w:sz="0" w:space="0" w:color="auto"/>
      </w:divBdr>
      <w:divsChild>
        <w:div w:id="419260661">
          <w:marLeft w:val="0"/>
          <w:marRight w:val="0"/>
          <w:marTop w:val="0"/>
          <w:marBottom w:val="0"/>
          <w:divBdr>
            <w:top w:val="none" w:sz="0" w:space="0" w:color="auto"/>
            <w:left w:val="none" w:sz="0" w:space="0" w:color="auto"/>
            <w:bottom w:val="none" w:sz="0" w:space="0" w:color="auto"/>
            <w:right w:val="none" w:sz="0" w:space="0" w:color="auto"/>
          </w:divBdr>
        </w:div>
        <w:div w:id="639386596">
          <w:marLeft w:val="0"/>
          <w:marRight w:val="0"/>
          <w:marTop w:val="0"/>
          <w:marBottom w:val="0"/>
          <w:divBdr>
            <w:top w:val="none" w:sz="0" w:space="0" w:color="auto"/>
            <w:left w:val="none" w:sz="0" w:space="0" w:color="auto"/>
            <w:bottom w:val="none" w:sz="0" w:space="0" w:color="auto"/>
            <w:right w:val="none" w:sz="0" w:space="0" w:color="auto"/>
          </w:divBdr>
        </w:div>
        <w:div w:id="717172073">
          <w:marLeft w:val="0"/>
          <w:marRight w:val="0"/>
          <w:marTop w:val="0"/>
          <w:marBottom w:val="0"/>
          <w:divBdr>
            <w:top w:val="none" w:sz="0" w:space="0" w:color="auto"/>
            <w:left w:val="none" w:sz="0" w:space="0" w:color="auto"/>
            <w:bottom w:val="none" w:sz="0" w:space="0" w:color="auto"/>
            <w:right w:val="none" w:sz="0" w:space="0" w:color="auto"/>
          </w:divBdr>
        </w:div>
        <w:div w:id="728915646">
          <w:marLeft w:val="0"/>
          <w:marRight w:val="0"/>
          <w:marTop w:val="0"/>
          <w:marBottom w:val="0"/>
          <w:divBdr>
            <w:top w:val="none" w:sz="0" w:space="0" w:color="auto"/>
            <w:left w:val="none" w:sz="0" w:space="0" w:color="auto"/>
            <w:bottom w:val="none" w:sz="0" w:space="0" w:color="auto"/>
            <w:right w:val="none" w:sz="0" w:space="0" w:color="auto"/>
          </w:divBdr>
        </w:div>
        <w:div w:id="1126045159">
          <w:marLeft w:val="0"/>
          <w:marRight w:val="0"/>
          <w:marTop w:val="0"/>
          <w:marBottom w:val="0"/>
          <w:divBdr>
            <w:top w:val="none" w:sz="0" w:space="0" w:color="auto"/>
            <w:left w:val="none" w:sz="0" w:space="0" w:color="auto"/>
            <w:bottom w:val="none" w:sz="0" w:space="0" w:color="auto"/>
            <w:right w:val="none" w:sz="0" w:space="0" w:color="auto"/>
          </w:divBdr>
        </w:div>
        <w:div w:id="1201211721">
          <w:marLeft w:val="0"/>
          <w:marRight w:val="0"/>
          <w:marTop w:val="0"/>
          <w:marBottom w:val="0"/>
          <w:divBdr>
            <w:top w:val="none" w:sz="0" w:space="0" w:color="auto"/>
            <w:left w:val="none" w:sz="0" w:space="0" w:color="auto"/>
            <w:bottom w:val="none" w:sz="0" w:space="0" w:color="auto"/>
            <w:right w:val="none" w:sz="0" w:space="0" w:color="auto"/>
          </w:divBdr>
        </w:div>
        <w:div w:id="1065303604">
          <w:marLeft w:val="0"/>
          <w:marRight w:val="0"/>
          <w:marTop w:val="0"/>
          <w:marBottom w:val="0"/>
          <w:divBdr>
            <w:top w:val="none" w:sz="0" w:space="0" w:color="auto"/>
            <w:left w:val="none" w:sz="0" w:space="0" w:color="auto"/>
            <w:bottom w:val="none" w:sz="0" w:space="0" w:color="auto"/>
            <w:right w:val="none" w:sz="0" w:space="0" w:color="auto"/>
          </w:divBdr>
        </w:div>
        <w:div w:id="1919165659">
          <w:marLeft w:val="0"/>
          <w:marRight w:val="0"/>
          <w:marTop w:val="0"/>
          <w:marBottom w:val="0"/>
          <w:divBdr>
            <w:top w:val="none" w:sz="0" w:space="0" w:color="auto"/>
            <w:left w:val="none" w:sz="0" w:space="0" w:color="auto"/>
            <w:bottom w:val="none" w:sz="0" w:space="0" w:color="auto"/>
            <w:right w:val="none" w:sz="0" w:space="0" w:color="auto"/>
          </w:divBdr>
        </w:div>
        <w:div w:id="2092311502">
          <w:marLeft w:val="0"/>
          <w:marRight w:val="0"/>
          <w:marTop w:val="0"/>
          <w:marBottom w:val="0"/>
          <w:divBdr>
            <w:top w:val="none" w:sz="0" w:space="0" w:color="auto"/>
            <w:left w:val="none" w:sz="0" w:space="0" w:color="auto"/>
            <w:bottom w:val="none" w:sz="0" w:space="0" w:color="auto"/>
            <w:right w:val="none" w:sz="0" w:space="0" w:color="auto"/>
          </w:divBdr>
        </w:div>
        <w:div w:id="625821306">
          <w:marLeft w:val="0"/>
          <w:marRight w:val="0"/>
          <w:marTop w:val="0"/>
          <w:marBottom w:val="0"/>
          <w:divBdr>
            <w:top w:val="none" w:sz="0" w:space="0" w:color="auto"/>
            <w:left w:val="none" w:sz="0" w:space="0" w:color="auto"/>
            <w:bottom w:val="none" w:sz="0" w:space="0" w:color="auto"/>
            <w:right w:val="none" w:sz="0" w:space="0" w:color="auto"/>
          </w:divBdr>
        </w:div>
        <w:div w:id="1516381780">
          <w:marLeft w:val="0"/>
          <w:marRight w:val="0"/>
          <w:marTop w:val="0"/>
          <w:marBottom w:val="0"/>
          <w:divBdr>
            <w:top w:val="none" w:sz="0" w:space="0" w:color="auto"/>
            <w:left w:val="none" w:sz="0" w:space="0" w:color="auto"/>
            <w:bottom w:val="none" w:sz="0" w:space="0" w:color="auto"/>
            <w:right w:val="none" w:sz="0" w:space="0" w:color="auto"/>
          </w:divBdr>
        </w:div>
        <w:div w:id="67774293">
          <w:marLeft w:val="0"/>
          <w:marRight w:val="0"/>
          <w:marTop w:val="0"/>
          <w:marBottom w:val="0"/>
          <w:divBdr>
            <w:top w:val="none" w:sz="0" w:space="0" w:color="auto"/>
            <w:left w:val="none" w:sz="0" w:space="0" w:color="auto"/>
            <w:bottom w:val="none" w:sz="0" w:space="0" w:color="auto"/>
            <w:right w:val="none" w:sz="0" w:space="0" w:color="auto"/>
          </w:divBdr>
        </w:div>
        <w:div w:id="203104599">
          <w:marLeft w:val="0"/>
          <w:marRight w:val="0"/>
          <w:marTop w:val="0"/>
          <w:marBottom w:val="0"/>
          <w:divBdr>
            <w:top w:val="none" w:sz="0" w:space="0" w:color="auto"/>
            <w:left w:val="none" w:sz="0" w:space="0" w:color="auto"/>
            <w:bottom w:val="none" w:sz="0" w:space="0" w:color="auto"/>
            <w:right w:val="none" w:sz="0" w:space="0" w:color="auto"/>
          </w:divBdr>
        </w:div>
        <w:div w:id="325595700">
          <w:marLeft w:val="0"/>
          <w:marRight w:val="0"/>
          <w:marTop w:val="0"/>
          <w:marBottom w:val="0"/>
          <w:divBdr>
            <w:top w:val="none" w:sz="0" w:space="0" w:color="auto"/>
            <w:left w:val="none" w:sz="0" w:space="0" w:color="auto"/>
            <w:bottom w:val="none" w:sz="0" w:space="0" w:color="auto"/>
            <w:right w:val="none" w:sz="0" w:space="0" w:color="auto"/>
          </w:divBdr>
        </w:div>
        <w:div w:id="497353101">
          <w:marLeft w:val="0"/>
          <w:marRight w:val="0"/>
          <w:marTop w:val="0"/>
          <w:marBottom w:val="0"/>
          <w:divBdr>
            <w:top w:val="none" w:sz="0" w:space="0" w:color="auto"/>
            <w:left w:val="none" w:sz="0" w:space="0" w:color="auto"/>
            <w:bottom w:val="none" w:sz="0" w:space="0" w:color="auto"/>
            <w:right w:val="none" w:sz="0" w:space="0" w:color="auto"/>
          </w:divBdr>
        </w:div>
        <w:div w:id="83887500">
          <w:marLeft w:val="0"/>
          <w:marRight w:val="0"/>
          <w:marTop w:val="0"/>
          <w:marBottom w:val="0"/>
          <w:divBdr>
            <w:top w:val="none" w:sz="0" w:space="0" w:color="auto"/>
            <w:left w:val="none" w:sz="0" w:space="0" w:color="auto"/>
            <w:bottom w:val="none" w:sz="0" w:space="0" w:color="auto"/>
            <w:right w:val="none" w:sz="0" w:space="0" w:color="auto"/>
          </w:divBdr>
        </w:div>
        <w:div w:id="1328510719">
          <w:marLeft w:val="0"/>
          <w:marRight w:val="0"/>
          <w:marTop w:val="0"/>
          <w:marBottom w:val="0"/>
          <w:divBdr>
            <w:top w:val="none" w:sz="0" w:space="0" w:color="auto"/>
            <w:left w:val="none" w:sz="0" w:space="0" w:color="auto"/>
            <w:bottom w:val="none" w:sz="0" w:space="0" w:color="auto"/>
            <w:right w:val="none" w:sz="0" w:space="0" w:color="auto"/>
          </w:divBdr>
        </w:div>
        <w:div w:id="1345283025">
          <w:marLeft w:val="0"/>
          <w:marRight w:val="0"/>
          <w:marTop w:val="0"/>
          <w:marBottom w:val="0"/>
          <w:divBdr>
            <w:top w:val="none" w:sz="0" w:space="0" w:color="auto"/>
            <w:left w:val="none" w:sz="0" w:space="0" w:color="auto"/>
            <w:bottom w:val="none" w:sz="0" w:space="0" w:color="auto"/>
            <w:right w:val="none" w:sz="0" w:space="0" w:color="auto"/>
          </w:divBdr>
        </w:div>
        <w:div w:id="1919944470">
          <w:marLeft w:val="0"/>
          <w:marRight w:val="0"/>
          <w:marTop w:val="0"/>
          <w:marBottom w:val="0"/>
          <w:divBdr>
            <w:top w:val="none" w:sz="0" w:space="0" w:color="auto"/>
            <w:left w:val="none" w:sz="0" w:space="0" w:color="auto"/>
            <w:bottom w:val="none" w:sz="0" w:space="0" w:color="auto"/>
            <w:right w:val="none" w:sz="0" w:space="0" w:color="auto"/>
          </w:divBdr>
        </w:div>
        <w:div w:id="1606381871">
          <w:marLeft w:val="0"/>
          <w:marRight w:val="0"/>
          <w:marTop w:val="0"/>
          <w:marBottom w:val="0"/>
          <w:divBdr>
            <w:top w:val="none" w:sz="0" w:space="0" w:color="auto"/>
            <w:left w:val="none" w:sz="0" w:space="0" w:color="auto"/>
            <w:bottom w:val="none" w:sz="0" w:space="0" w:color="auto"/>
            <w:right w:val="none" w:sz="0" w:space="0" w:color="auto"/>
          </w:divBdr>
        </w:div>
        <w:div w:id="1241788744">
          <w:marLeft w:val="0"/>
          <w:marRight w:val="0"/>
          <w:marTop w:val="0"/>
          <w:marBottom w:val="0"/>
          <w:divBdr>
            <w:top w:val="none" w:sz="0" w:space="0" w:color="auto"/>
            <w:left w:val="none" w:sz="0" w:space="0" w:color="auto"/>
            <w:bottom w:val="none" w:sz="0" w:space="0" w:color="auto"/>
            <w:right w:val="none" w:sz="0" w:space="0" w:color="auto"/>
          </w:divBdr>
        </w:div>
        <w:div w:id="569387022">
          <w:marLeft w:val="0"/>
          <w:marRight w:val="0"/>
          <w:marTop w:val="0"/>
          <w:marBottom w:val="0"/>
          <w:divBdr>
            <w:top w:val="none" w:sz="0" w:space="0" w:color="auto"/>
            <w:left w:val="none" w:sz="0" w:space="0" w:color="auto"/>
            <w:bottom w:val="none" w:sz="0" w:space="0" w:color="auto"/>
            <w:right w:val="none" w:sz="0" w:space="0" w:color="auto"/>
          </w:divBdr>
        </w:div>
        <w:div w:id="939264901">
          <w:marLeft w:val="0"/>
          <w:marRight w:val="0"/>
          <w:marTop w:val="0"/>
          <w:marBottom w:val="0"/>
          <w:divBdr>
            <w:top w:val="none" w:sz="0" w:space="0" w:color="auto"/>
            <w:left w:val="none" w:sz="0" w:space="0" w:color="auto"/>
            <w:bottom w:val="none" w:sz="0" w:space="0" w:color="auto"/>
            <w:right w:val="none" w:sz="0" w:space="0" w:color="auto"/>
          </w:divBdr>
        </w:div>
        <w:div w:id="1949853800">
          <w:marLeft w:val="0"/>
          <w:marRight w:val="0"/>
          <w:marTop w:val="0"/>
          <w:marBottom w:val="0"/>
          <w:divBdr>
            <w:top w:val="none" w:sz="0" w:space="0" w:color="auto"/>
            <w:left w:val="none" w:sz="0" w:space="0" w:color="auto"/>
            <w:bottom w:val="none" w:sz="0" w:space="0" w:color="auto"/>
            <w:right w:val="none" w:sz="0" w:space="0" w:color="auto"/>
          </w:divBdr>
        </w:div>
        <w:div w:id="83646624">
          <w:marLeft w:val="0"/>
          <w:marRight w:val="0"/>
          <w:marTop w:val="0"/>
          <w:marBottom w:val="0"/>
          <w:divBdr>
            <w:top w:val="none" w:sz="0" w:space="0" w:color="auto"/>
            <w:left w:val="none" w:sz="0" w:space="0" w:color="auto"/>
            <w:bottom w:val="none" w:sz="0" w:space="0" w:color="auto"/>
            <w:right w:val="none" w:sz="0" w:space="0" w:color="auto"/>
          </w:divBdr>
        </w:div>
        <w:div w:id="555822021">
          <w:marLeft w:val="0"/>
          <w:marRight w:val="0"/>
          <w:marTop w:val="0"/>
          <w:marBottom w:val="0"/>
          <w:divBdr>
            <w:top w:val="none" w:sz="0" w:space="0" w:color="auto"/>
            <w:left w:val="none" w:sz="0" w:space="0" w:color="auto"/>
            <w:bottom w:val="none" w:sz="0" w:space="0" w:color="auto"/>
            <w:right w:val="none" w:sz="0" w:space="0" w:color="auto"/>
          </w:divBdr>
        </w:div>
        <w:div w:id="1203177571">
          <w:marLeft w:val="0"/>
          <w:marRight w:val="0"/>
          <w:marTop w:val="0"/>
          <w:marBottom w:val="0"/>
          <w:divBdr>
            <w:top w:val="none" w:sz="0" w:space="0" w:color="auto"/>
            <w:left w:val="none" w:sz="0" w:space="0" w:color="auto"/>
            <w:bottom w:val="none" w:sz="0" w:space="0" w:color="auto"/>
            <w:right w:val="none" w:sz="0" w:space="0" w:color="auto"/>
          </w:divBdr>
        </w:div>
        <w:div w:id="1140462716">
          <w:marLeft w:val="0"/>
          <w:marRight w:val="0"/>
          <w:marTop w:val="0"/>
          <w:marBottom w:val="0"/>
          <w:divBdr>
            <w:top w:val="none" w:sz="0" w:space="0" w:color="auto"/>
            <w:left w:val="none" w:sz="0" w:space="0" w:color="auto"/>
            <w:bottom w:val="none" w:sz="0" w:space="0" w:color="auto"/>
            <w:right w:val="none" w:sz="0" w:space="0" w:color="auto"/>
          </w:divBdr>
        </w:div>
        <w:div w:id="1858545169">
          <w:marLeft w:val="0"/>
          <w:marRight w:val="0"/>
          <w:marTop w:val="0"/>
          <w:marBottom w:val="0"/>
          <w:divBdr>
            <w:top w:val="none" w:sz="0" w:space="0" w:color="auto"/>
            <w:left w:val="none" w:sz="0" w:space="0" w:color="auto"/>
            <w:bottom w:val="none" w:sz="0" w:space="0" w:color="auto"/>
            <w:right w:val="none" w:sz="0" w:space="0" w:color="auto"/>
          </w:divBdr>
        </w:div>
        <w:div w:id="2073917047">
          <w:marLeft w:val="0"/>
          <w:marRight w:val="0"/>
          <w:marTop w:val="0"/>
          <w:marBottom w:val="0"/>
          <w:divBdr>
            <w:top w:val="none" w:sz="0" w:space="0" w:color="auto"/>
            <w:left w:val="none" w:sz="0" w:space="0" w:color="auto"/>
            <w:bottom w:val="none" w:sz="0" w:space="0" w:color="auto"/>
            <w:right w:val="none" w:sz="0" w:space="0" w:color="auto"/>
          </w:divBdr>
        </w:div>
        <w:div w:id="1589265673">
          <w:marLeft w:val="0"/>
          <w:marRight w:val="0"/>
          <w:marTop w:val="0"/>
          <w:marBottom w:val="0"/>
          <w:divBdr>
            <w:top w:val="none" w:sz="0" w:space="0" w:color="auto"/>
            <w:left w:val="none" w:sz="0" w:space="0" w:color="auto"/>
            <w:bottom w:val="none" w:sz="0" w:space="0" w:color="auto"/>
            <w:right w:val="none" w:sz="0" w:space="0" w:color="auto"/>
          </w:divBdr>
        </w:div>
        <w:div w:id="433283181">
          <w:marLeft w:val="0"/>
          <w:marRight w:val="0"/>
          <w:marTop w:val="0"/>
          <w:marBottom w:val="0"/>
          <w:divBdr>
            <w:top w:val="none" w:sz="0" w:space="0" w:color="auto"/>
            <w:left w:val="none" w:sz="0" w:space="0" w:color="auto"/>
            <w:bottom w:val="none" w:sz="0" w:space="0" w:color="auto"/>
            <w:right w:val="none" w:sz="0" w:space="0" w:color="auto"/>
          </w:divBdr>
        </w:div>
        <w:div w:id="1476020078">
          <w:marLeft w:val="0"/>
          <w:marRight w:val="0"/>
          <w:marTop w:val="0"/>
          <w:marBottom w:val="0"/>
          <w:divBdr>
            <w:top w:val="none" w:sz="0" w:space="0" w:color="auto"/>
            <w:left w:val="none" w:sz="0" w:space="0" w:color="auto"/>
            <w:bottom w:val="none" w:sz="0" w:space="0" w:color="auto"/>
            <w:right w:val="none" w:sz="0" w:space="0" w:color="auto"/>
          </w:divBdr>
        </w:div>
        <w:div w:id="1853951131">
          <w:marLeft w:val="0"/>
          <w:marRight w:val="0"/>
          <w:marTop w:val="0"/>
          <w:marBottom w:val="0"/>
          <w:divBdr>
            <w:top w:val="none" w:sz="0" w:space="0" w:color="auto"/>
            <w:left w:val="none" w:sz="0" w:space="0" w:color="auto"/>
            <w:bottom w:val="none" w:sz="0" w:space="0" w:color="auto"/>
            <w:right w:val="none" w:sz="0" w:space="0" w:color="auto"/>
          </w:divBdr>
        </w:div>
        <w:div w:id="676272110">
          <w:marLeft w:val="0"/>
          <w:marRight w:val="0"/>
          <w:marTop w:val="0"/>
          <w:marBottom w:val="0"/>
          <w:divBdr>
            <w:top w:val="none" w:sz="0" w:space="0" w:color="auto"/>
            <w:left w:val="none" w:sz="0" w:space="0" w:color="auto"/>
            <w:bottom w:val="none" w:sz="0" w:space="0" w:color="auto"/>
            <w:right w:val="none" w:sz="0" w:space="0" w:color="auto"/>
          </w:divBdr>
        </w:div>
        <w:div w:id="311301609">
          <w:marLeft w:val="0"/>
          <w:marRight w:val="0"/>
          <w:marTop w:val="0"/>
          <w:marBottom w:val="0"/>
          <w:divBdr>
            <w:top w:val="none" w:sz="0" w:space="0" w:color="auto"/>
            <w:left w:val="none" w:sz="0" w:space="0" w:color="auto"/>
            <w:bottom w:val="none" w:sz="0" w:space="0" w:color="auto"/>
            <w:right w:val="none" w:sz="0" w:space="0" w:color="auto"/>
          </w:divBdr>
        </w:div>
        <w:div w:id="480079290">
          <w:marLeft w:val="0"/>
          <w:marRight w:val="0"/>
          <w:marTop w:val="0"/>
          <w:marBottom w:val="0"/>
          <w:divBdr>
            <w:top w:val="none" w:sz="0" w:space="0" w:color="auto"/>
            <w:left w:val="none" w:sz="0" w:space="0" w:color="auto"/>
            <w:bottom w:val="none" w:sz="0" w:space="0" w:color="auto"/>
            <w:right w:val="none" w:sz="0" w:space="0" w:color="auto"/>
          </w:divBdr>
        </w:div>
        <w:div w:id="801002392">
          <w:marLeft w:val="0"/>
          <w:marRight w:val="0"/>
          <w:marTop w:val="0"/>
          <w:marBottom w:val="0"/>
          <w:divBdr>
            <w:top w:val="none" w:sz="0" w:space="0" w:color="auto"/>
            <w:left w:val="none" w:sz="0" w:space="0" w:color="auto"/>
            <w:bottom w:val="none" w:sz="0" w:space="0" w:color="auto"/>
            <w:right w:val="none" w:sz="0" w:space="0" w:color="auto"/>
          </w:divBdr>
        </w:div>
        <w:div w:id="2090534978">
          <w:marLeft w:val="0"/>
          <w:marRight w:val="0"/>
          <w:marTop w:val="0"/>
          <w:marBottom w:val="0"/>
          <w:divBdr>
            <w:top w:val="none" w:sz="0" w:space="0" w:color="auto"/>
            <w:left w:val="none" w:sz="0" w:space="0" w:color="auto"/>
            <w:bottom w:val="none" w:sz="0" w:space="0" w:color="auto"/>
            <w:right w:val="none" w:sz="0" w:space="0" w:color="auto"/>
          </w:divBdr>
        </w:div>
        <w:div w:id="1190877637">
          <w:marLeft w:val="0"/>
          <w:marRight w:val="0"/>
          <w:marTop w:val="0"/>
          <w:marBottom w:val="0"/>
          <w:divBdr>
            <w:top w:val="none" w:sz="0" w:space="0" w:color="auto"/>
            <w:left w:val="none" w:sz="0" w:space="0" w:color="auto"/>
            <w:bottom w:val="none" w:sz="0" w:space="0" w:color="auto"/>
            <w:right w:val="none" w:sz="0" w:space="0" w:color="auto"/>
          </w:divBdr>
        </w:div>
        <w:div w:id="218246996">
          <w:marLeft w:val="0"/>
          <w:marRight w:val="0"/>
          <w:marTop w:val="0"/>
          <w:marBottom w:val="0"/>
          <w:divBdr>
            <w:top w:val="none" w:sz="0" w:space="0" w:color="auto"/>
            <w:left w:val="none" w:sz="0" w:space="0" w:color="auto"/>
            <w:bottom w:val="none" w:sz="0" w:space="0" w:color="auto"/>
            <w:right w:val="none" w:sz="0" w:space="0" w:color="auto"/>
          </w:divBdr>
        </w:div>
        <w:div w:id="956109739">
          <w:marLeft w:val="0"/>
          <w:marRight w:val="0"/>
          <w:marTop w:val="0"/>
          <w:marBottom w:val="0"/>
          <w:divBdr>
            <w:top w:val="none" w:sz="0" w:space="0" w:color="auto"/>
            <w:left w:val="none" w:sz="0" w:space="0" w:color="auto"/>
            <w:bottom w:val="none" w:sz="0" w:space="0" w:color="auto"/>
            <w:right w:val="none" w:sz="0" w:space="0" w:color="auto"/>
          </w:divBdr>
        </w:div>
        <w:div w:id="413478317">
          <w:marLeft w:val="0"/>
          <w:marRight w:val="0"/>
          <w:marTop w:val="0"/>
          <w:marBottom w:val="0"/>
          <w:divBdr>
            <w:top w:val="none" w:sz="0" w:space="0" w:color="auto"/>
            <w:left w:val="none" w:sz="0" w:space="0" w:color="auto"/>
            <w:bottom w:val="none" w:sz="0" w:space="0" w:color="auto"/>
            <w:right w:val="none" w:sz="0" w:space="0" w:color="auto"/>
          </w:divBdr>
        </w:div>
        <w:div w:id="1847598955">
          <w:marLeft w:val="0"/>
          <w:marRight w:val="0"/>
          <w:marTop w:val="0"/>
          <w:marBottom w:val="0"/>
          <w:divBdr>
            <w:top w:val="none" w:sz="0" w:space="0" w:color="auto"/>
            <w:left w:val="none" w:sz="0" w:space="0" w:color="auto"/>
            <w:bottom w:val="none" w:sz="0" w:space="0" w:color="auto"/>
            <w:right w:val="none" w:sz="0" w:space="0" w:color="auto"/>
          </w:divBdr>
        </w:div>
        <w:div w:id="1495023390">
          <w:marLeft w:val="0"/>
          <w:marRight w:val="0"/>
          <w:marTop w:val="0"/>
          <w:marBottom w:val="0"/>
          <w:divBdr>
            <w:top w:val="none" w:sz="0" w:space="0" w:color="auto"/>
            <w:left w:val="none" w:sz="0" w:space="0" w:color="auto"/>
            <w:bottom w:val="none" w:sz="0" w:space="0" w:color="auto"/>
            <w:right w:val="none" w:sz="0" w:space="0" w:color="auto"/>
          </w:divBdr>
        </w:div>
        <w:div w:id="227033379">
          <w:marLeft w:val="0"/>
          <w:marRight w:val="0"/>
          <w:marTop w:val="0"/>
          <w:marBottom w:val="0"/>
          <w:divBdr>
            <w:top w:val="none" w:sz="0" w:space="0" w:color="auto"/>
            <w:left w:val="none" w:sz="0" w:space="0" w:color="auto"/>
            <w:bottom w:val="none" w:sz="0" w:space="0" w:color="auto"/>
            <w:right w:val="none" w:sz="0" w:space="0" w:color="auto"/>
          </w:divBdr>
        </w:div>
        <w:div w:id="1984309180">
          <w:marLeft w:val="0"/>
          <w:marRight w:val="0"/>
          <w:marTop w:val="0"/>
          <w:marBottom w:val="0"/>
          <w:divBdr>
            <w:top w:val="none" w:sz="0" w:space="0" w:color="auto"/>
            <w:left w:val="none" w:sz="0" w:space="0" w:color="auto"/>
            <w:bottom w:val="none" w:sz="0" w:space="0" w:color="auto"/>
            <w:right w:val="none" w:sz="0" w:space="0" w:color="auto"/>
          </w:divBdr>
        </w:div>
      </w:divsChild>
    </w:div>
    <w:div w:id="1625766183">
      <w:bodyDiv w:val="1"/>
      <w:marLeft w:val="0"/>
      <w:marRight w:val="0"/>
      <w:marTop w:val="0"/>
      <w:marBottom w:val="0"/>
      <w:divBdr>
        <w:top w:val="none" w:sz="0" w:space="0" w:color="auto"/>
        <w:left w:val="none" w:sz="0" w:space="0" w:color="auto"/>
        <w:bottom w:val="none" w:sz="0" w:space="0" w:color="auto"/>
        <w:right w:val="none" w:sz="0" w:space="0" w:color="auto"/>
      </w:divBdr>
    </w:div>
    <w:div w:id="1660379512">
      <w:bodyDiv w:val="1"/>
      <w:marLeft w:val="0"/>
      <w:marRight w:val="0"/>
      <w:marTop w:val="0"/>
      <w:marBottom w:val="0"/>
      <w:divBdr>
        <w:top w:val="none" w:sz="0" w:space="0" w:color="auto"/>
        <w:left w:val="none" w:sz="0" w:space="0" w:color="auto"/>
        <w:bottom w:val="none" w:sz="0" w:space="0" w:color="auto"/>
        <w:right w:val="none" w:sz="0" w:space="0" w:color="auto"/>
      </w:divBdr>
    </w:div>
    <w:div w:id="1670327157">
      <w:bodyDiv w:val="1"/>
      <w:marLeft w:val="0"/>
      <w:marRight w:val="0"/>
      <w:marTop w:val="0"/>
      <w:marBottom w:val="0"/>
      <w:divBdr>
        <w:top w:val="none" w:sz="0" w:space="0" w:color="auto"/>
        <w:left w:val="none" w:sz="0" w:space="0" w:color="auto"/>
        <w:bottom w:val="none" w:sz="0" w:space="0" w:color="auto"/>
        <w:right w:val="none" w:sz="0" w:space="0" w:color="auto"/>
      </w:divBdr>
    </w:div>
    <w:div w:id="1710715138">
      <w:bodyDiv w:val="1"/>
      <w:marLeft w:val="0"/>
      <w:marRight w:val="0"/>
      <w:marTop w:val="0"/>
      <w:marBottom w:val="0"/>
      <w:divBdr>
        <w:top w:val="none" w:sz="0" w:space="0" w:color="auto"/>
        <w:left w:val="none" w:sz="0" w:space="0" w:color="auto"/>
        <w:bottom w:val="none" w:sz="0" w:space="0" w:color="auto"/>
        <w:right w:val="none" w:sz="0" w:space="0" w:color="auto"/>
      </w:divBdr>
    </w:div>
    <w:div w:id="1741319546">
      <w:bodyDiv w:val="1"/>
      <w:marLeft w:val="0"/>
      <w:marRight w:val="0"/>
      <w:marTop w:val="0"/>
      <w:marBottom w:val="0"/>
      <w:divBdr>
        <w:top w:val="none" w:sz="0" w:space="0" w:color="auto"/>
        <w:left w:val="none" w:sz="0" w:space="0" w:color="auto"/>
        <w:bottom w:val="none" w:sz="0" w:space="0" w:color="auto"/>
        <w:right w:val="none" w:sz="0" w:space="0" w:color="auto"/>
      </w:divBdr>
    </w:div>
    <w:div w:id="1826583213">
      <w:bodyDiv w:val="1"/>
      <w:marLeft w:val="0"/>
      <w:marRight w:val="0"/>
      <w:marTop w:val="0"/>
      <w:marBottom w:val="0"/>
      <w:divBdr>
        <w:top w:val="none" w:sz="0" w:space="0" w:color="auto"/>
        <w:left w:val="none" w:sz="0" w:space="0" w:color="auto"/>
        <w:bottom w:val="none" w:sz="0" w:space="0" w:color="auto"/>
        <w:right w:val="none" w:sz="0" w:space="0" w:color="auto"/>
      </w:divBdr>
    </w:div>
    <w:div w:id="2013027490">
      <w:bodyDiv w:val="1"/>
      <w:marLeft w:val="0"/>
      <w:marRight w:val="0"/>
      <w:marTop w:val="0"/>
      <w:marBottom w:val="0"/>
      <w:divBdr>
        <w:top w:val="none" w:sz="0" w:space="0" w:color="auto"/>
        <w:left w:val="none" w:sz="0" w:space="0" w:color="auto"/>
        <w:bottom w:val="none" w:sz="0" w:space="0" w:color="auto"/>
        <w:right w:val="none" w:sz="0" w:space="0" w:color="auto"/>
      </w:divBdr>
      <w:divsChild>
        <w:div w:id="262307326">
          <w:marLeft w:val="0"/>
          <w:marRight w:val="0"/>
          <w:marTop w:val="0"/>
          <w:marBottom w:val="0"/>
          <w:divBdr>
            <w:top w:val="none" w:sz="0" w:space="0" w:color="auto"/>
            <w:left w:val="none" w:sz="0" w:space="0" w:color="auto"/>
            <w:bottom w:val="none" w:sz="0" w:space="0" w:color="auto"/>
            <w:right w:val="none" w:sz="0" w:space="0" w:color="auto"/>
          </w:divBdr>
        </w:div>
        <w:div w:id="414744476">
          <w:marLeft w:val="0"/>
          <w:marRight w:val="0"/>
          <w:marTop w:val="0"/>
          <w:marBottom w:val="0"/>
          <w:divBdr>
            <w:top w:val="none" w:sz="0" w:space="0" w:color="auto"/>
            <w:left w:val="none" w:sz="0" w:space="0" w:color="auto"/>
            <w:bottom w:val="none" w:sz="0" w:space="0" w:color="auto"/>
            <w:right w:val="none" w:sz="0" w:space="0" w:color="auto"/>
          </w:divBdr>
        </w:div>
        <w:div w:id="732125519">
          <w:marLeft w:val="0"/>
          <w:marRight w:val="0"/>
          <w:marTop w:val="0"/>
          <w:marBottom w:val="0"/>
          <w:divBdr>
            <w:top w:val="none" w:sz="0" w:space="0" w:color="auto"/>
            <w:left w:val="none" w:sz="0" w:space="0" w:color="auto"/>
            <w:bottom w:val="none" w:sz="0" w:space="0" w:color="auto"/>
            <w:right w:val="none" w:sz="0" w:space="0" w:color="auto"/>
          </w:divBdr>
        </w:div>
        <w:div w:id="1409886661">
          <w:marLeft w:val="0"/>
          <w:marRight w:val="0"/>
          <w:marTop w:val="0"/>
          <w:marBottom w:val="0"/>
          <w:divBdr>
            <w:top w:val="none" w:sz="0" w:space="0" w:color="auto"/>
            <w:left w:val="none" w:sz="0" w:space="0" w:color="auto"/>
            <w:bottom w:val="none" w:sz="0" w:space="0" w:color="auto"/>
            <w:right w:val="none" w:sz="0" w:space="0" w:color="auto"/>
          </w:divBdr>
        </w:div>
        <w:div w:id="31880593">
          <w:marLeft w:val="0"/>
          <w:marRight w:val="0"/>
          <w:marTop w:val="0"/>
          <w:marBottom w:val="0"/>
          <w:divBdr>
            <w:top w:val="none" w:sz="0" w:space="0" w:color="auto"/>
            <w:left w:val="none" w:sz="0" w:space="0" w:color="auto"/>
            <w:bottom w:val="none" w:sz="0" w:space="0" w:color="auto"/>
            <w:right w:val="none" w:sz="0" w:space="0" w:color="auto"/>
          </w:divBdr>
        </w:div>
      </w:divsChild>
    </w:div>
    <w:div w:id="20819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Foglio_di_lavoro_di_Microsoft_Excel3.xlsx"/><Relationship Id="rId18" Type="http://schemas.openxmlformats.org/officeDocument/2006/relationships/hyperlink" Target="http://www.rgs.mef.gov.it/_Documenti/VERSIONE-I/e-GOVERNME1/ARCONET/PRINCIPICONTABILI/All_4-2_Principio_applicato_contabilitx_finanziaria_con_variazioni.doc" TargetMode="External"/><Relationship Id="rId26" Type="http://schemas.openxmlformats.org/officeDocument/2006/relationships/package" Target="embeddings/Foglio_di_lavoro_di_Microsoft_Excel8.xls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Foglio_di_lavoro_di_Microsoft_Excel12.xlsx"/><Relationship Id="rId42" Type="http://schemas.openxmlformats.org/officeDocument/2006/relationships/package" Target="embeddings/Foglio_di_lavoro_di_Microsoft_Excel16.xlsx"/><Relationship Id="rId47" Type="http://schemas.openxmlformats.org/officeDocument/2006/relationships/image" Target="media/image19.emf"/><Relationship Id="rId50" Type="http://schemas.openxmlformats.org/officeDocument/2006/relationships/hyperlink" Target="http://www.normattiva.it/uri-res/N2Ls?urn:nir:stato:legge:2015-12-28;208!vig=" TargetMode="External"/><Relationship Id="rId55" Type="http://schemas.openxmlformats.org/officeDocument/2006/relationships/hyperlink" Target="http://www.normattiva.it/uri-res/N2Ls?urn:nir:stato:legge:2015-12-28;208!vig="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www.normattiva.it/uri-res/N2Ls?urn:nir:stato:decreto.legislativo:2000-08-18;267~art183!vig=" TargetMode="External"/><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hyperlink" Target="http://www.normattiva.it/uri-res/N2Ls?urn:nir:stato:legge:2006-12-27;296!vig="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Foglio_di_lavoro_di_Microsoft_Excel2.xlsx"/><Relationship Id="rId24" Type="http://schemas.openxmlformats.org/officeDocument/2006/relationships/package" Target="embeddings/Foglio_di_lavoro_di_Microsoft_Excel7.xlsx"/><Relationship Id="rId32" Type="http://schemas.openxmlformats.org/officeDocument/2006/relationships/package" Target="embeddings/Foglio_di_lavoro_di_Microsoft_Excel11.xlsx"/><Relationship Id="rId37" Type="http://schemas.openxmlformats.org/officeDocument/2006/relationships/image" Target="media/image14.emf"/><Relationship Id="rId40" Type="http://schemas.openxmlformats.org/officeDocument/2006/relationships/package" Target="embeddings/Foglio_di_lavoro_di_Microsoft_Excel15.xlsx"/><Relationship Id="rId45" Type="http://schemas.openxmlformats.org/officeDocument/2006/relationships/image" Target="media/image18.emf"/><Relationship Id="rId53" Type="http://schemas.openxmlformats.org/officeDocument/2006/relationships/hyperlink" Target="http://www.normattiva.it/uri-res/N2Ls?urn:nir:stato:legge:2006-12-27;296!vig=" TargetMode="External"/><Relationship Id="rId58"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package" Target="embeddings/Foglio_di_lavoro_di_Microsoft_Excel4.xlsx"/><Relationship Id="rId23" Type="http://schemas.openxmlformats.org/officeDocument/2006/relationships/image" Target="media/image7.emf"/><Relationship Id="rId28" Type="http://schemas.openxmlformats.org/officeDocument/2006/relationships/package" Target="embeddings/Foglio_di_lavoro_di_Microsoft_Excel9.xlsx"/><Relationship Id="rId36" Type="http://schemas.openxmlformats.org/officeDocument/2006/relationships/package" Target="embeddings/Foglio_di_lavoro_di_Microsoft_Excel13.xlsx"/><Relationship Id="rId49" Type="http://schemas.openxmlformats.org/officeDocument/2006/relationships/hyperlink" Target="http://www.normattiva.it/uri-res/N2Ls?urn:nir:stato:legge:2014-06-24;90~art3!vig=" TargetMode="External"/><Relationship Id="rId57" Type="http://schemas.openxmlformats.org/officeDocument/2006/relationships/package" Target="embeddings/Foglio_di_lavoro_di_Microsoft_Excel20.xlsx"/><Relationship Id="rId61" Type="http://schemas.openxmlformats.org/officeDocument/2006/relationships/package" Target="embeddings/Foglio_di_lavoro_di_Microsoft_Excel22.xlsx"/><Relationship Id="rId10" Type="http://schemas.openxmlformats.org/officeDocument/2006/relationships/image" Target="media/image2.emf"/><Relationship Id="rId19" Type="http://schemas.openxmlformats.org/officeDocument/2006/relationships/hyperlink" Target="http://www.normattiva.it/uri-res/N2Ls?urn:nir:stato:decreto.legislativo:2011-06-23;118!vig=" TargetMode="External"/><Relationship Id="rId31" Type="http://schemas.openxmlformats.org/officeDocument/2006/relationships/image" Target="media/image11.emf"/><Relationship Id="rId44" Type="http://schemas.openxmlformats.org/officeDocument/2006/relationships/package" Target="embeddings/Foglio_di_lavoro_di_Microsoft_Excel17.xlsx"/><Relationship Id="rId52" Type="http://schemas.openxmlformats.org/officeDocument/2006/relationships/hyperlink" Target="http://www.normattiva.it/uri-res/N2Ls?urn:nir:stato:legge:2015-12-28;208!vig=" TargetMode="External"/><Relationship Id="rId60"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package" Target="embeddings/Foglio_di_lavoro_di_Microsoft_Excel1.xlsx"/><Relationship Id="rId14" Type="http://schemas.openxmlformats.org/officeDocument/2006/relationships/image" Target="media/image4.emf"/><Relationship Id="rId22" Type="http://schemas.openxmlformats.org/officeDocument/2006/relationships/package" Target="embeddings/Foglio_di_lavoro_di_Microsoft_Excel6.xlsx"/><Relationship Id="rId27" Type="http://schemas.openxmlformats.org/officeDocument/2006/relationships/image" Target="media/image9.emf"/><Relationship Id="rId30" Type="http://schemas.openxmlformats.org/officeDocument/2006/relationships/package" Target="embeddings/Foglio_di_lavoro_di_Microsoft_Excel10.xls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Foglio_di_lavoro_di_Microsoft_Excel19.xlsx"/><Relationship Id="rId56" Type="http://schemas.openxmlformats.org/officeDocument/2006/relationships/image" Target="media/image20.emf"/><Relationship Id="rId64"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hyperlink" Target="http://www.normattiva.it/uri-res/N2Ls?urn:nir:stato:decreto.legge:2016-06-24;113~art16!vig="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Foglio_di_lavoro_di_Microsoft_Excel5.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Foglio_di_lavoro_di_Microsoft_Excel14.xlsx"/><Relationship Id="rId46" Type="http://schemas.openxmlformats.org/officeDocument/2006/relationships/package" Target="embeddings/Foglio_di_lavoro_di_Microsoft_Excel18.xlsx"/><Relationship Id="rId59" Type="http://schemas.openxmlformats.org/officeDocument/2006/relationships/package" Target="embeddings/Foglio_di_lavoro_di_Microsoft_Excel21.xlsx"/></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B6C88-3E0B-4045-A4BE-A18EDB0C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4317</Words>
  <Characters>24613</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28873</CharactersWithSpaces>
  <SharedDoc>false</SharedDoc>
  <HLinks>
    <vt:vector size="144" baseType="variant">
      <vt:variant>
        <vt:i4>3407874</vt:i4>
      </vt:variant>
      <vt:variant>
        <vt:i4>252</vt:i4>
      </vt:variant>
      <vt:variant>
        <vt:i4>0</vt:i4>
      </vt:variant>
      <vt:variant>
        <vt:i4>5</vt:i4>
      </vt:variant>
      <vt:variant>
        <vt:lpwstr>mailto:info@ancrel.it</vt:lpwstr>
      </vt:variant>
      <vt:variant>
        <vt:lpwstr/>
      </vt:variant>
      <vt:variant>
        <vt:i4>1441865</vt:i4>
      </vt:variant>
      <vt:variant>
        <vt:i4>249</vt:i4>
      </vt:variant>
      <vt:variant>
        <vt:i4>0</vt:i4>
      </vt:variant>
      <vt:variant>
        <vt:i4>5</vt:i4>
      </vt:variant>
      <vt:variant>
        <vt:lpwstr>http://www.ancrel.it/</vt:lpwstr>
      </vt:variant>
      <vt:variant>
        <vt:lpwstr/>
      </vt:variant>
      <vt:variant>
        <vt:i4>7209059</vt:i4>
      </vt:variant>
      <vt:variant>
        <vt:i4>216</vt:i4>
      </vt:variant>
      <vt:variant>
        <vt:i4>0</vt:i4>
      </vt:variant>
      <vt:variant>
        <vt:i4>5</vt:i4>
      </vt:variant>
      <vt:variant>
        <vt:lpwstr>http://www.normattiva.it/uri-res/N2Ls?urn:nir:stato:decreto.legislativo:2000-08-18;267~art243!vig=</vt:lpwstr>
      </vt:variant>
      <vt:variant>
        <vt:lpwstr/>
      </vt:variant>
      <vt:variant>
        <vt:i4>3145833</vt:i4>
      </vt:variant>
      <vt:variant>
        <vt:i4>159</vt:i4>
      </vt:variant>
      <vt:variant>
        <vt:i4>0</vt:i4>
      </vt:variant>
      <vt:variant>
        <vt:i4>5</vt:i4>
      </vt:variant>
      <vt:variant>
        <vt:lpwstr>http://www.sico.tesoro.it/Sico/</vt:lpwstr>
      </vt:variant>
      <vt:variant>
        <vt:lpwstr/>
      </vt:variant>
      <vt:variant>
        <vt:i4>2555941</vt:i4>
      </vt:variant>
      <vt:variant>
        <vt:i4>105</vt:i4>
      </vt:variant>
      <vt:variant>
        <vt:i4>0</vt:i4>
      </vt:variant>
      <vt:variant>
        <vt:i4>5</vt:i4>
      </vt:variant>
      <vt:variant>
        <vt:lpwstr>http://www.normattiva.it/uri-res/N2Ls?urn:nir:stato:decreto.legislativo:1993;507~art61!vig=</vt:lpwstr>
      </vt:variant>
      <vt:variant>
        <vt:lpwstr/>
      </vt:variant>
      <vt:variant>
        <vt:i4>7143530</vt:i4>
      </vt:variant>
      <vt:variant>
        <vt:i4>93</vt:i4>
      </vt:variant>
      <vt:variant>
        <vt:i4>0</vt:i4>
      </vt:variant>
      <vt:variant>
        <vt:i4>5</vt:i4>
      </vt:variant>
      <vt:variant>
        <vt:lpwstr>http://www.normattiva.it/uri-res/N2Ls?urn:nir:stato:decreto.legislativo:2000-08-18;267~art179!vig=</vt:lpwstr>
      </vt:variant>
      <vt:variant>
        <vt:lpwstr/>
      </vt:variant>
      <vt:variant>
        <vt:i4>6815842</vt:i4>
      </vt:variant>
      <vt:variant>
        <vt:i4>81</vt:i4>
      </vt:variant>
      <vt:variant>
        <vt:i4>0</vt:i4>
      </vt:variant>
      <vt:variant>
        <vt:i4>5</vt:i4>
      </vt:variant>
      <vt:variant>
        <vt:lpwstr>http://www.normattiva.it/uri-res/N2Ls?urn:nir:stato:decreto.legislativo:2000-08-18;267~art222!vig=</vt:lpwstr>
      </vt:variant>
      <vt:variant>
        <vt:lpwstr/>
      </vt:variant>
      <vt:variant>
        <vt:i4>6488166</vt:i4>
      </vt:variant>
      <vt:variant>
        <vt:i4>78</vt:i4>
      </vt:variant>
      <vt:variant>
        <vt:i4>0</vt:i4>
      </vt:variant>
      <vt:variant>
        <vt:i4>5</vt:i4>
      </vt:variant>
      <vt:variant>
        <vt:lpwstr>http://www.normattiva.it/uri-res/N2Ls?urn:nir:stato:decreto.legislativo:2000-08-18;267~art195!vig=</vt:lpwstr>
      </vt:variant>
      <vt:variant>
        <vt:lpwstr/>
      </vt:variant>
      <vt:variant>
        <vt:i4>6488167</vt:i4>
      </vt:variant>
      <vt:variant>
        <vt:i4>36</vt:i4>
      </vt:variant>
      <vt:variant>
        <vt:i4>0</vt:i4>
      </vt:variant>
      <vt:variant>
        <vt:i4>5</vt:i4>
      </vt:variant>
      <vt:variant>
        <vt:lpwstr>http://www.normattiva.it/uri-res/N2Ls?urn:nir:stato:decreto.legislativo:2000-08-18;267~ART194!vig=</vt:lpwstr>
      </vt:variant>
      <vt:variant>
        <vt:lpwstr/>
      </vt:variant>
      <vt:variant>
        <vt:i4>5701657</vt:i4>
      </vt:variant>
      <vt:variant>
        <vt:i4>33</vt:i4>
      </vt:variant>
      <vt:variant>
        <vt:i4>0</vt:i4>
      </vt:variant>
      <vt:variant>
        <vt:i4>5</vt:i4>
      </vt:variant>
      <vt:variant>
        <vt:lpwstr>http://finanzalocale.interno.it/docum/comunicati/com110110all.pdf</vt:lpwstr>
      </vt:variant>
      <vt:variant>
        <vt:lpwstr/>
      </vt:variant>
      <vt:variant>
        <vt:i4>7274593</vt:i4>
      </vt:variant>
      <vt:variant>
        <vt:i4>30</vt:i4>
      </vt:variant>
      <vt:variant>
        <vt:i4>0</vt:i4>
      </vt:variant>
      <vt:variant>
        <vt:i4>5</vt:i4>
      </vt:variant>
      <vt:variant>
        <vt:lpwstr>http://www.normattiva.it/uri-res/N2Ls?urn:nir:stato:decreto.legislativo:2000-08-18;267~ART152!vig=</vt:lpwstr>
      </vt:variant>
      <vt:variant>
        <vt:lpwstr/>
      </vt:variant>
      <vt:variant>
        <vt:i4>2818103</vt:i4>
      </vt:variant>
      <vt:variant>
        <vt:i4>27</vt:i4>
      </vt:variant>
      <vt:variant>
        <vt:i4>0</vt:i4>
      </vt:variant>
      <vt:variant>
        <vt:i4>5</vt:i4>
      </vt:variant>
      <vt:variant>
        <vt:lpwstr>http://www.normattiva.it/uri-res/N2Ls?urn:nir:stato:decreto.legislativo:2000-08-18;267!vig=</vt:lpwstr>
      </vt:variant>
      <vt:variant>
        <vt:lpwstr/>
      </vt:variant>
      <vt:variant>
        <vt:i4>6488167</vt:i4>
      </vt:variant>
      <vt:variant>
        <vt:i4>24</vt:i4>
      </vt:variant>
      <vt:variant>
        <vt:i4>0</vt:i4>
      </vt:variant>
      <vt:variant>
        <vt:i4>5</vt:i4>
      </vt:variant>
      <vt:variant>
        <vt:lpwstr>http://www.normattiva.it/uri-res/N2Ls?urn:nir:stato:decreto.legislativo:2000-08-18;267~ART194!vig=</vt:lpwstr>
      </vt:variant>
      <vt:variant>
        <vt:lpwstr/>
      </vt:variant>
      <vt:variant>
        <vt:i4>5636164</vt:i4>
      </vt:variant>
      <vt:variant>
        <vt:i4>21</vt:i4>
      </vt:variant>
      <vt:variant>
        <vt:i4>0</vt:i4>
      </vt:variant>
      <vt:variant>
        <vt:i4>5</vt:i4>
      </vt:variant>
      <vt:variant>
        <vt:lpwstr>http://www.rgs.mef.gov.it/VERSIONE-I/e-GOVERNME1/Patto-di-S/2012/</vt:lpwstr>
      </vt:variant>
      <vt:variant>
        <vt:lpwstr/>
      </vt:variant>
      <vt:variant>
        <vt:i4>1769495</vt:i4>
      </vt:variant>
      <vt:variant>
        <vt:i4>18</vt:i4>
      </vt:variant>
      <vt:variant>
        <vt:i4>0</vt:i4>
      </vt:variant>
      <vt:variant>
        <vt:i4>5</vt:i4>
      </vt:variant>
      <vt:variant>
        <vt:lpwstr>http://www.normattiva.it/uri-res/N2Ls?urn:nir:stato:decreto.legislativo:2000-08-18;267~ART147quater!vig=</vt:lpwstr>
      </vt:variant>
      <vt:variant>
        <vt:lpwstr/>
      </vt:variant>
      <vt:variant>
        <vt:i4>6750304</vt:i4>
      </vt:variant>
      <vt:variant>
        <vt:i4>15</vt:i4>
      </vt:variant>
      <vt:variant>
        <vt:i4>0</vt:i4>
      </vt:variant>
      <vt:variant>
        <vt:i4>5</vt:i4>
      </vt:variant>
      <vt:variant>
        <vt:lpwstr>http://www.camera.it/465?area=19&amp;tema=39&amp;I+derivati+degli+enti+territoriali</vt:lpwstr>
      </vt:variant>
      <vt:variant>
        <vt:lpwstr/>
      </vt:variant>
      <vt:variant>
        <vt:i4>1179661</vt:i4>
      </vt:variant>
      <vt:variant>
        <vt:i4>12</vt:i4>
      </vt:variant>
      <vt:variant>
        <vt:i4>0</vt:i4>
      </vt:variant>
      <vt:variant>
        <vt:i4>5</vt:i4>
      </vt:variant>
      <vt:variant>
        <vt:lpwstr>http://osservatorio.interno.it/principi/concilia.html</vt:lpwstr>
      </vt:variant>
      <vt:variant>
        <vt:lpwstr/>
      </vt:variant>
      <vt:variant>
        <vt:i4>5242882</vt:i4>
      </vt:variant>
      <vt:variant>
        <vt:i4>9</vt:i4>
      </vt:variant>
      <vt:variant>
        <vt:i4>0</vt:i4>
      </vt:variant>
      <vt:variant>
        <vt:i4>5</vt:i4>
      </vt:variant>
      <vt:variant>
        <vt:lpwstr>http://www.rgs.mef.gov.it/VERSIONE-I/e-GOVERNME1/SIOPE/index.html</vt:lpwstr>
      </vt:variant>
      <vt:variant>
        <vt:lpwstr/>
      </vt:variant>
      <vt:variant>
        <vt:i4>6881376</vt:i4>
      </vt:variant>
      <vt:variant>
        <vt:i4>6</vt:i4>
      </vt:variant>
      <vt:variant>
        <vt:i4>0</vt:i4>
      </vt:variant>
      <vt:variant>
        <vt:i4>5</vt:i4>
      </vt:variant>
      <vt:variant>
        <vt:lpwstr>http://www.normattiva.it/uri-res/N2Ls?urn:nir:stato:decreto.legislativo:2000-08-18;267~ART230!vig=</vt:lpwstr>
      </vt:variant>
      <vt:variant>
        <vt:lpwstr/>
      </vt:variant>
      <vt:variant>
        <vt:i4>6815849</vt:i4>
      </vt:variant>
      <vt:variant>
        <vt:i4>3</vt:i4>
      </vt:variant>
      <vt:variant>
        <vt:i4>0</vt:i4>
      </vt:variant>
      <vt:variant>
        <vt:i4>5</vt:i4>
      </vt:variant>
      <vt:variant>
        <vt:lpwstr>http://www.normattiva.it/uri-res/N2Ls?urn:nir:stato:decreto.legislativo:2000-08-18;267~ART229!vig=</vt:lpwstr>
      </vt:variant>
      <vt:variant>
        <vt:lpwstr/>
      </vt:variant>
      <vt:variant>
        <vt:i4>6815848</vt:i4>
      </vt:variant>
      <vt:variant>
        <vt:i4>0</vt:i4>
      </vt:variant>
      <vt:variant>
        <vt:i4>0</vt:i4>
      </vt:variant>
      <vt:variant>
        <vt:i4>5</vt:i4>
      </vt:variant>
      <vt:variant>
        <vt:lpwstr>http://www.normattiva.it/uri-res/N2Ls?urn:nir:stato:decreto.legislativo:2000-08-18;267~ART228!vig=</vt:lpwstr>
      </vt:variant>
      <vt:variant>
        <vt:lpwstr/>
      </vt:variant>
      <vt:variant>
        <vt:i4>1179661</vt:i4>
      </vt:variant>
      <vt:variant>
        <vt:i4>0</vt:i4>
      </vt:variant>
      <vt:variant>
        <vt:i4>0</vt:i4>
      </vt:variant>
      <vt:variant>
        <vt:i4>5</vt:i4>
      </vt:variant>
      <vt:variant>
        <vt:lpwstr>http://osservatorio.interno.it/principi/concilia.html</vt:lpwstr>
      </vt:variant>
      <vt:variant>
        <vt:lpwstr/>
      </vt:variant>
      <vt:variant>
        <vt:i4>1441865</vt:i4>
      </vt:variant>
      <vt:variant>
        <vt:i4>9</vt:i4>
      </vt:variant>
      <vt:variant>
        <vt:i4>0</vt:i4>
      </vt:variant>
      <vt:variant>
        <vt:i4>5</vt:i4>
      </vt:variant>
      <vt:variant>
        <vt:lpwstr>http://www.ancrel.it/</vt:lpwstr>
      </vt:variant>
      <vt:variant>
        <vt:lpwstr/>
      </vt:variant>
      <vt:variant>
        <vt:i4>7733374</vt:i4>
      </vt:variant>
      <vt:variant>
        <vt:i4>0</vt:i4>
      </vt:variant>
      <vt:variant>
        <vt:i4>0</vt:i4>
      </vt:variant>
      <vt:variant>
        <vt:i4>5</vt:i4>
      </vt:variant>
      <vt:variant>
        <vt:lpwstr>C:\Users\Antonino\AppData\Local\Temp\Temp1_Rendiconto2013.zip\Tabrend2013.xls</vt:lpwstr>
      </vt:variant>
      <vt:variant>
        <vt:lpwstr>cOMUNE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2017-03-13T17:11:00Z</dcterms:created>
  <dcterms:modified xsi:type="dcterms:W3CDTF">2017-05-15T13:44:00Z</dcterms:modified>
</cp:coreProperties>
</file>